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2B7" w:rsidRDefault="0024125F">
      <w:pPr>
        <w:pStyle w:val="Title"/>
      </w:pPr>
      <w:r>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0"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842B7" w:rsidRDefault="00E842B7">
      <w:pPr>
        <w:pStyle w:val="Title"/>
      </w:pPr>
    </w:p>
    <w:p w:rsidR="00E842B7" w:rsidRDefault="00E842B7"/>
    <w:p w:rsidR="00E842B7" w:rsidRDefault="00E842B7"/>
    <w:p w:rsidR="00E842B7" w:rsidRDefault="00E842B7"/>
    <w:p w:rsidR="00E842B7" w:rsidRDefault="00E842B7">
      <w:pPr>
        <w:pStyle w:val="Title"/>
      </w:pPr>
      <w:r>
        <w:t>Global 3000</w:t>
      </w:r>
    </w:p>
    <w:p w:rsidR="00E842B7" w:rsidRDefault="00DF6988">
      <w:pPr>
        <w:pStyle w:val="Title"/>
      </w:pPr>
      <w:r>
        <w:t>Service Pack Note</w:t>
      </w:r>
    </w:p>
    <w:p w:rsidR="00E842B7" w:rsidRDefault="00E842B7"/>
    <w:p w:rsidR="00E842B7" w:rsidRDefault="00E842B7"/>
    <w:p w:rsidR="00E842B7" w:rsidRDefault="00D4273C">
      <w:pPr>
        <w:pStyle w:val="Title"/>
      </w:pPr>
      <w:r>
        <w:fldChar w:fldCharType="begin"/>
      </w:r>
      <w:r>
        <w:instrText xml:space="preserve"> SUBJECT  \* MERGEFORMAT </w:instrText>
      </w:r>
      <w:r>
        <w:fldChar w:fldCharType="separate"/>
      </w:r>
      <w:r w:rsidR="00467EB7">
        <w:t>Update to General Ledger Budget Entry Dialogue</w:t>
      </w:r>
      <w:r>
        <w:fldChar w:fldCharType="end"/>
      </w:r>
    </w:p>
    <w:p w:rsidR="00E842B7" w:rsidRDefault="00E842B7"/>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B77AA" w:rsidRDefault="002B77AA">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E842B7" w:rsidRDefault="00E842B7">
      <w:pPr>
        <w:rPr>
          <w:rFonts w:ascii="Arial" w:hAnsi="Arial"/>
          <w:b/>
          <w:sz w:val="22"/>
        </w:rPr>
      </w:pPr>
      <w:r>
        <w:rPr>
          <w:rFonts w:ascii="Arial" w:hAnsi="Arial"/>
          <w:b/>
          <w:sz w:val="22"/>
        </w:rPr>
        <w:lastRenderedPageBreak/>
        <w:t>INTRODUCTION</w:t>
      </w:r>
    </w:p>
    <w:p w:rsidR="00E842B7" w:rsidRDefault="00E842B7">
      <w:pPr>
        <w:tabs>
          <w:tab w:val="left" w:pos="3600"/>
        </w:tabs>
        <w:jc w:val="both"/>
        <w:rPr>
          <w:rFonts w:ascii="Arial" w:hAnsi="Arial"/>
          <w:b/>
          <w:sz w:val="22"/>
        </w:rPr>
      </w:pPr>
    </w:p>
    <w:p w:rsidR="00E842B7" w:rsidRDefault="00E842B7">
      <w:pPr>
        <w:tabs>
          <w:tab w:val="left" w:pos="3600"/>
        </w:tabs>
        <w:jc w:val="both"/>
        <w:rPr>
          <w:rFonts w:ascii="CG Omega" w:hAnsi="CG Omega"/>
          <w:sz w:val="24"/>
        </w:rPr>
      </w:pPr>
      <w:r>
        <w:rPr>
          <w:rFonts w:ascii="CG Omega" w:hAnsi="CG Omega"/>
          <w:sz w:val="24"/>
        </w:rPr>
        <w:fldChar w:fldCharType="begin"/>
      </w:r>
      <w:r>
        <w:rPr>
          <w:rFonts w:ascii="CG Omega" w:hAnsi="CG Omega"/>
          <w:sz w:val="24"/>
        </w:rPr>
        <w:instrText xml:space="preserve"> COMMENTS  \* MERGEFORMAT </w:instrText>
      </w:r>
      <w:r>
        <w:rPr>
          <w:rFonts w:ascii="CG Omega" w:hAnsi="CG Omega"/>
          <w:sz w:val="24"/>
        </w:rPr>
        <w:fldChar w:fldCharType="separate"/>
      </w:r>
      <w:r w:rsidR="00467EB7">
        <w:rPr>
          <w:rFonts w:ascii="CG Omega" w:hAnsi="CG Omega"/>
          <w:sz w:val="24"/>
        </w:rPr>
        <w:t>This service pack updates the dialogue used to maintain budgets.</w:t>
      </w:r>
      <w:r>
        <w:rPr>
          <w:rFonts w:ascii="CG Omega" w:hAnsi="CG Omega"/>
          <w:sz w:val="24"/>
        </w:rPr>
        <w:fldChar w:fldCharType="end"/>
      </w:r>
    </w:p>
    <w:p w:rsidR="00E842B7" w:rsidRDefault="00E842B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10545F">
        <w:trPr>
          <w:trHeight w:val="240"/>
        </w:trPr>
        <w:tc>
          <w:tcPr>
            <w:tcW w:w="10173" w:type="dxa"/>
          </w:tcPr>
          <w:p w:rsidR="0010545F" w:rsidRPr="0075007C" w:rsidRDefault="00392CB4" w:rsidP="00392CB4">
            <w:pPr>
              <w:pStyle w:val="BodyText"/>
              <w:rPr>
                <w:rFonts w:ascii="CG Omega" w:hAnsi="CG Omega"/>
                <w:sz w:val="24"/>
              </w:rPr>
            </w:pPr>
            <w:r>
              <w:rPr>
                <w:rFonts w:ascii="CG Omega" w:hAnsi="CG Omega"/>
                <w:sz w:val="24"/>
              </w:rPr>
              <w:t>The Budgeting O</w:t>
            </w:r>
            <w:r w:rsidR="00AA07EB">
              <w:rPr>
                <w:rFonts w:ascii="CG Omega" w:hAnsi="CG Omega"/>
                <w:sz w:val="24"/>
              </w:rPr>
              <w:t xml:space="preserve">ptions </w:t>
            </w:r>
            <w:r>
              <w:rPr>
                <w:rFonts w:ascii="CG Omega" w:hAnsi="CG Omega"/>
                <w:sz w:val="24"/>
              </w:rPr>
              <w:t>M</w:t>
            </w:r>
            <w:r w:rsidR="00AA07EB">
              <w:rPr>
                <w:rFonts w:ascii="CG Omega" w:hAnsi="CG Omega"/>
                <w:sz w:val="24"/>
              </w:rPr>
              <w:t xml:space="preserve">enu </w:t>
            </w:r>
            <w:r w:rsidR="005B79C6">
              <w:rPr>
                <w:rFonts w:ascii="CG Omega" w:hAnsi="CG Omega"/>
                <w:sz w:val="24"/>
              </w:rPr>
              <w:t>has been replaced by adding the op</w:t>
            </w:r>
            <w:r w:rsidR="00AA07EB">
              <w:rPr>
                <w:rFonts w:ascii="CG Omega" w:hAnsi="CG Omega"/>
                <w:sz w:val="24"/>
              </w:rPr>
              <w:t>tions directly to the profit centre selection window.</w:t>
            </w:r>
          </w:p>
        </w:tc>
      </w:tr>
      <w:tr w:rsidR="008B35C6">
        <w:trPr>
          <w:trHeight w:val="240"/>
        </w:trPr>
        <w:tc>
          <w:tcPr>
            <w:tcW w:w="10173" w:type="dxa"/>
          </w:tcPr>
          <w:p w:rsidR="006861A7" w:rsidRPr="008B35C6" w:rsidRDefault="00B72884" w:rsidP="00392CB4">
            <w:pPr>
              <w:pStyle w:val="BodyText"/>
              <w:rPr>
                <w:rFonts w:ascii="CG Omega" w:hAnsi="CG Omega"/>
                <w:sz w:val="24"/>
              </w:rPr>
            </w:pPr>
            <w:r>
              <w:rPr>
                <w:rFonts w:ascii="CG Omega" w:hAnsi="CG Omega"/>
                <w:sz w:val="24"/>
              </w:rPr>
              <w:t xml:space="preserve">The </w:t>
            </w:r>
            <w:r w:rsidR="00AA07EB">
              <w:rPr>
                <w:rFonts w:ascii="CG Omega" w:hAnsi="CG Omega"/>
                <w:sz w:val="24"/>
              </w:rPr>
              <w:t xml:space="preserve">Profit Centre Budgets window </w:t>
            </w:r>
            <w:r>
              <w:rPr>
                <w:rFonts w:ascii="CG Omega" w:hAnsi="CG Omega"/>
                <w:sz w:val="24"/>
              </w:rPr>
              <w:t>has been</w:t>
            </w:r>
            <w:r w:rsidR="00AA07EB">
              <w:rPr>
                <w:rFonts w:ascii="CG Omega" w:hAnsi="CG Omega"/>
                <w:sz w:val="24"/>
              </w:rPr>
              <w:t xml:space="preserve"> </w:t>
            </w:r>
            <w:r>
              <w:rPr>
                <w:rFonts w:ascii="CG Omega" w:hAnsi="CG Omega"/>
                <w:sz w:val="24"/>
              </w:rPr>
              <w:t>amended</w:t>
            </w:r>
            <w:r w:rsidR="00AA07EB">
              <w:rPr>
                <w:rFonts w:ascii="CG Omega" w:hAnsi="CG Omega"/>
                <w:sz w:val="24"/>
              </w:rPr>
              <w:t xml:space="preserve"> to list all account </w:t>
            </w:r>
            <w:r>
              <w:rPr>
                <w:rFonts w:ascii="CG Omega" w:hAnsi="CG Omega"/>
                <w:sz w:val="24"/>
              </w:rPr>
              <w:t>groups;</w:t>
            </w:r>
            <w:r w:rsidR="00AA07EB">
              <w:rPr>
                <w:rFonts w:ascii="CG Omega" w:hAnsi="CG Omega"/>
                <w:sz w:val="24"/>
              </w:rPr>
              <w:t xml:space="preserve"> </w:t>
            </w:r>
            <w:r>
              <w:rPr>
                <w:rFonts w:ascii="CG Omega" w:hAnsi="CG Omega"/>
                <w:sz w:val="24"/>
              </w:rPr>
              <w:t>previously</w:t>
            </w:r>
            <w:r w:rsidR="00AA07EB">
              <w:rPr>
                <w:rFonts w:ascii="CG Omega" w:hAnsi="CG Omega"/>
                <w:sz w:val="24"/>
              </w:rPr>
              <w:t xml:space="preserve"> only groups with group level budgets </w:t>
            </w:r>
            <w:r>
              <w:rPr>
                <w:rFonts w:ascii="CG Omega" w:hAnsi="CG Omega"/>
                <w:sz w:val="24"/>
              </w:rPr>
              <w:t>were</w:t>
            </w:r>
            <w:r w:rsidR="00AA07EB">
              <w:rPr>
                <w:rFonts w:ascii="CG Omega" w:hAnsi="CG Omega"/>
                <w:sz w:val="24"/>
              </w:rPr>
              <w:t xml:space="preserve"> </w:t>
            </w:r>
            <w:r w:rsidR="00392CB4">
              <w:rPr>
                <w:rFonts w:ascii="CG Omega" w:hAnsi="CG Omega"/>
                <w:sz w:val="24"/>
              </w:rPr>
              <w:t>shown</w:t>
            </w:r>
            <w:r w:rsidR="00AA07EB">
              <w:rPr>
                <w:rFonts w:ascii="CG Omega" w:hAnsi="CG Omega"/>
                <w:sz w:val="24"/>
              </w:rPr>
              <w:t xml:space="preserve">. A new column </w:t>
            </w:r>
            <w:r>
              <w:rPr>
                <w:rFonts w:ascii="CG Omega" w:hAnsi="CG Omega"/>
                <w:sz w:val="24"/>
              </w:rPr>
              <w:t>has been</w:t>
            </w:r>
            <w:r w:rsidR="00AA07EB">
              <w:rPr>
                <w:rFonts w:ascii="CG Omega" w:hAnsi="CG Omega"/>
                <w:sz w:val="24"/>
              </w:rPr>
              <w:t xml:space="preserve"> added to show the type of budgets used by each group. A filters button allow</w:t>
            </w:r>
            <w:r>
              <w:rPr>
                <w:rFonts w:ascii="CG Omega" w:hAnsi="CG Omega"/>
                <w:sz w:val="24"/>
              </w:rPr>
              <w:t>s</w:t>
            </w:r>
            <w:r w:rsidR="00AA07EB">
              <w:rPr>
                <w:rFonts w:ascii="CG Omega" w:hAnsi="CG Omega"/>
                <w:sz w:val="24"/>
              </w:rPr>
              <w:t xml:space="preserve"> the window to be restricted by budget type.</w:t>
            </w:r>
          </w:p>
        </w:tc>
      </w:tr>
      <w:tr w:rsidR="00B72884">
        <w:trPr>
          <w:trHeight w:val="240"/>
        </w:trPr>
        <w:tc>
          <w:tcPr>
            <w:tcW w:w="10173" w:type="dxa"/>
          </w:tcPr>
          <w:p w:rsidR="00B72884" w:rsidRDefault="00B72884" w:rsidP="00392CB4">
            <w:pPr>
              <w:pStyle w:val="BodyText"/>
              <w:rPr>
                <w:rFonts w:ascii="CG Omega" w:hAnsi="CG Omega"/>
                <w:sz w:val="24"/>
              </w:rPr>
            </w:pPr>
            <w:r>
              <w:rPr>
                <w:rFonts w:ascii="CG Omega" w:hAnsi="CG Omega"/>
                <w:sz w:val="24"/>
              </w:rPr>
              <w:t>The Account Groups for Company window has been amended to list all account groups; previously only groups with group level budgets were displayed. A new column has been added to show the type of budgets used by each group. A filters button allows the window to be restricted by budget type.</w:t>
            </w:r>
          </w:p>
        </w:tc>
      </w:tr>
      <w:tr w:rsidR="00B66207">
        <w:trPr>
          <w:trHeight w:val="240"/>
        </w:trPr>
        <w:tc>
          <w:tcPr>
            <w:tcW w:w="10173" w:type="dxa"/>
          </w:tcPr>
          <w:p w:rsidR="00B66207" w:rsidRDefault="00AA07EB" w:rsidP="00392CB4">
            <w:pPr>
              <w:pStyle w:val="BodyText"/>
              <w:rPr>
                <w:rFonts w:ascii="CG Omega" w:hAnsi="CG Omega"/>
                <w:sz w:val="24"/>
              </w:rPr>
            </w:pPr>
            <w:r>
              <w:rPr>
                <w:rFonts w:ascii="CG Omega" w:hAnsi="CG Omega"/>
                <w:sz w:val="24"/>
              </w:rPr>
              <w:t xml:space="preserve">Selecting a group that uses account level budgets </w:t>
            </w:r>
            <w:r w:rsidR="00392CB4">
              <w:rPr>
                <w:rFonts w:ascii="CG Omega" w:hAnsi="CG Omega"/>
                <w:sz w:val="24"/>
              </w:rPr>
              <w:t xml:space="preserve">now </w:t>
            </w:r>
            <w:r>
              <w:rPr>
                <w:rFonts w:ascii="CG Omega" w:hAnsi="CG Omega"/>
                <w:sz w:val="24"/>
              </w:rPr>
              <w:t>drill</w:t>
            </w:r>
            <w:r w:rsidR="00392CB4">
              <w:rPr>
                <w:rFonts w:ascii="CG Omega" w:hAnsi="CG Omega"/>
                <w:sz w:val="24"/>
              </w:rPr>
              <w:t>s</w:t>
            </w:r>
            <w:r>
              <w:rPr>
                <w:rFonts w:ascii="CG Omega" w:hAnsi="CG Omega"/>
                <w:sz w:val="24"/>
              </w:rPr>
              <w:t xml:space="preserve"> down to the </w:t>
            </w:r>
            <w:r w:rsidR="00392CB4">
              <w:rPr>
                <w:rFonts w:ascii="CG Omega" w:hAnsi="CG Omega"/>
                <w:sz w:val="24"/>
              </w:rPr>
              <w:t>A</w:t>
            </w:r>
            <w:r>
              <w:rPr>
                <w:rFonts w:ascii="CG Omega" w:hAnsi="CG Omega"/>
                <w:sz w:val="24"/>
              </w:rPr>
              <w:t xml:space="preserve">ccounts </w:t>
            </w:r>
            <w:r w:rsidR="00392CB4">
              <w:rPr>
                <w:rFonts w:ascii="CG Omega" w:hAnsi="CG Omega"/>
                <w:sz w:val="24"/>
              </w:rPr>
              <w:t>B</w:t>
            </w:r>
            <w:r>
              <w:rPr>
                <w:rFonts w:ascii="CG Omega" w:hAnsi="CG Omega"/>
                <w:sz w:val="24"/>
              </w:rPr>
              <w:t xml:space="preserve">udget </w:t>
            </w:r>
            <w:r w:rsidR="00392CB4">
              <w:rPr>
                <w:rFonts w:ascii="CG Omega" w:hAnsi="CG Omega"/>
                <w:sz w:val="24"/>
              </w:rPr>
              <w:t>W</w:t>
            </w:r>
            <w:r>
              <w:rPr>
                <w:rFonts w:ascii="CG Omega" w:hAnsi="CG Omega"/>
                <w:sz w:val="24"/>
              </w:rPr>
              <w:t xml:space="preserve">indow listing all the accounts for the selected group. </w:t>
            </w:r>
          </w:p>
        </w:tc>
      </w:tr>
    </w:tbl>
    <w:p w:rsidR="00E842B7" w:rsidRDefault="00E842B7"/>
    <w:p w:rsidR="00E57DB2" w:rsidRDefault="00E57DB2"/>
    <w:p w:rsidR="009163BC" w:rsidRDefault="009163BC">
      <w:pPr>
        <w:rPr>
          <w:rFonts w:ascii="Arial" w:hAnsi="Arial"/>
          <w:b/>
          <w:sz w:val="22"/>
        </w:rPr>
      </w:pPr>
    </w:p>
    <w:p w:rsidR="00E628A8" w:rsidRDefault="00E628A8" w:rsidP="009163BC">
      <w:pPr>
        <w:tabs>
          <w:tab w:val="left" w:pos="2694"/>
        </w:tabs>
        <w:rPr>
          <w:rFonts w:ascii="Arial" w:hAnsi="Arial"/>
          <w:b/>
          <w:sz w:val="22"/>
        </w:rPr>
      </w:pPr>
    </w:p>
    <w:p w:rsidR="00E628A8" w:rsidRDefault="00E628A8" w:rsidP="009163BC">
      <w:pPr>
        <w:tabs>
          <w:tab w:val="left" w:pos="2694"/>
        </w:tabs>
        <w:rPr>
          <w:rFonts w:ascii="Arial" w:hAnsi="Arial"/>
          <w:b/>
          <w:sz w:val="22"/>
        </w:rPr>
      </w:pPr>
    </w:p>
    <w:p w:rsidR="00D641BD" w:rsidRDefault="00D641BD">
      <w:pPr>
        <w:rPr>
          <w:rFonts w:ascii="Arial" w:hAnsi="Arial"/>
          <w:b/>
          <w:sz w:val="22"/>
        </w:rPr>
      </w:pPr>
      <w:r>
        <w:rPr>
          <w:rFonts w:ascii="Arial" w:hAnsi="Arial"/>
          <w:b/>
          <w:sz w:val="22"/>
        </w:rPr>
        <w:br w:type="page"/>
      </w:r>
    </w:p>
    <w:p w:rsidR="00E842B7" w:rsidRDefault="00E842B7" w:rsidP="009163BC">
      <w:pPr>
        <w:tabs>
          <w:tab w:val="left" w:pos="2694"/>
        </w:tabs>
        <w:rPr>
          <w:rFonts w:ascii="Arial" w:hAnsi="Arial"/>
          <w:b/>
          <w:sz w:val="22"/>
        </w:rPr>
      </w:pPr>
      <w:r>
        <w:rPr>
          <w:rFonts w:ascii="Arial" w:hAnsi="Arial"/>
          <w:b/>
          <w:sz w:val="22"/>
        </w:rPr>
        <w:lastRenderedPageBreak/>
        <w:t>DOCUMENTATION CHANGES</w:t>
      </w:r>
    </w:p>
    <w:p w:rsidR="005E5511" w:rsidRDefault="005E5511" w:rsidP="005E5511">
      <w:pPr>
        <w:rPr>
          <w:i/>
        </w:rPr>
      </w:pPr>
    </w:p>
    <w:p w:rsidR="007C1156" w:rsidRDefault="007C1156" w:rsidP="00B45DC6">
      <w:pPr>
        <w:pStyle w:val="Heading3"/>
        <w:ind w:left="0"/>
      </w:pPr>
      <w:r>
        <w:t>Account Selection Window</w:t>
      </w:r>
    </w:p>
    <w:p w:rsidR="00FD1E58" w:rsidRPr="007C1156" w:rsidRDefault="00C45F53" w:rsidP="007C1156">
      <w:pPr>
        <w:pStyle w:val="BodyText"/>
        <w:rPr>
          <w:i/>
        </w:rPr>
      </w:pPr>
      <w:r>
        <w:rPr>
          <w:noProof/>
        </w:rPr>
        <w:drawing>
          <wp:inline distT="0" distB="0" distL="0" distR="0" wp14:anchorId="4A8EE0D8" wp14:editId="5701F942">
            <wp:extent cx="5943600" cy="36029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3602990"/>
                    </a:xfrm>
                    <a:prstGeom prst="rect">
                      <a:avLst/>
                    </a:prstGeom>
                  </pic:spPr>
                </pic:pic>
              </a:graphicData>
            </a:graphic>
          </wp:inline>
        </w:drawing>
      </w:r>
    </w:p>
    <w:tbl>
      <w:tblPr>
        <w:tblW w:w="9214" w:type="dxa"/>
        <w:tblLayout w:type="fixed"/>
        <w:tblCellMar>
          <w:top w:w="57" w:type="dxa"/>
          <w:left w:w="142" w:type="dxa"/>
          <w:bottom w:w="57" w:type="dxa"/>
          <w:right w:w="142" w:type="dxa"/>
        </w:tblCellMar>
        <w:tblLook w:val="0000" w:firstRow="0" w:lastRow="0" w:firstColumn="0" w:lastColumn="0" w:noHBand="0" w:noVBand="0"/>
      </w:tblPr>
      <w:tblGrid>
        <w:gridCol w:w="2268"/>
        <w:gridCol w:w="6946"/>
      </w:tblGrid>
      <w:tr w:rsidR="007C1156" w:rsidRPr="00095665" w:rsidTr="007C1156">
        <w:tc>
          <w:tcPr>
            <w:tcW w:w="2268" w:type="dxa"/>
          </w:tcPr>
          <w:p w:rsidR="007C1156" w:rsidRDefault="007C1156" w:rsidP="002C7335">
            <w:pPr>
              <w:pStyle w:val="Subheading"/>
            </w:pPr>
          </w:p>
        </w:tc>
        <w:tc>
          <w:tcPr>
            <w:tcW w:w="6946" w:type="dxa"/>
          </w:tcPr>
          <w:p w:rsidR="007C1156" w:rsidRPr="007C1156" w:rsidRDefault="007C1156" w:rsidP="007C1156">
            <w:pPr>
              <w:spacing w:before="100" w:beforeAutospacing="1" w:after="100" w:afterAutospacing="1"/>
            </w:pPr>
            <w:r w:rsidRPr="007C1156">
              <w:t>This window appears when you select Amend Budget by Company from the Budgeting/Forecasting Options Menu</w:t>
            </w:r>
            <w:r>
              <w:t>.</w:t>
            </w:r>
          </w:p>
        </w:tc>
      </w:tr>
      <w:tr w:rsidR="007C1156" w:rsidRPr="00095665" w:rsidTr="007C1156">
        <w:tc>
          <w:tcPr>
            <w:tcW w:w="2268" w:type="dxa"/>
          </w:tcPr>
          <w:p w:rsidR="007C1156" w:rsidRDefault="007C1156" w:rsidP="002C7335">
            <w:pPr>
              <w:pStyle w:val="Subheading"/>
            </w:pPr>
            <w:r>
              <w:t>Purpose</w:t>
            </w:r>
          </w:p>
        </w:tc>
        <w:tc>
          <w:tcPr>
            <w:tcW w:w="6946" w:type="dxa"/>
          </w:tcPr>
          <w:p w:rsidR="007C1156" w:rsidRPr="00DD586D" w:rsidRDefault="007C1156" w:rsidP="002C7335">
            <w:pPr>
              <w:pStyle w:val="BodyText"/>
            </w:pPr>
            <w:r>
              <w:t>This window lists the selected company'</w:t>
            </w:r>
            <w:r w:rsidR="00D10FF1">
              <w:t>s account groups</w:t>
            </w:r>
            <w:r>
              <w:t xml:space="preserve">, showing their total annual budgets. It enables you to select an account </w:t>
            </w:r>
            <w:r w:rsidR="00D10FF1">
              <w:t xml:space="preserve">group </w:t>
            </w:r>
            <w:r>
              <w:t>to amend its budget.</w:t>
            </w:r>
          </w:p>
        </w:tc>
      </w:tr>
      <w:tr w:rsidR="00C45F53" w:rsidRPr="00095665" w:rsidTr="00507C02">
        <w:tblPrEx>
          <w:tblCellMar>
            <w:top w:w="0" w:type="dxa"/>
            <w:bottom w:w="0" w:type="dxa"/>
          </w:tblCellMar>
        </w:tblPrEx>
        <w:tc>
          <w:tcPr>
            <w:tcW w:w="2268" w:type="dxa"/>
          </w:tcPr>
          <w:p w:rsidR="00C45F53" w:rsidRPr="00D10FF1" w:rsidRDefault="00C45F53" w:rsidP="00507C02">
            <w:pPr>
              <w:pStyle w:val="Subheading"/>
              <w:rPr>
                <w:b w:val="0"/>
                <w:i/>
              </w:rPr>
            </w:pPr>
            <w:r w:rsidRPr="00D10FF1">
              <w:rPr>
                <w:b w:val="0"/>
                <w:i/>
              </w:rPr>
              <w:t>On Completion</w:t>
            </w:r>
          </w:p>
        </w:tc>
        <w:tc>
          <w:tcPr>
            <w:tcW w:w="6946" w:type="dxa"/>
          </w:tcPr>
          <w:p w:rsidR="00C45F53" w:rsidRDefault="00C45F53" w:rsidP="00507C02">
            <w:pPr>
              <w:pStyle w:val="BodyText"/>
            </w:pPr>
            <w:r w:rsidRPr="00D10FF1">
              <w:t xml:space="preserve">For Account Group level Budgets, </w:t>
            </w:r>
            <w:r w:rsidRPr="00D10FF1">
              <w:rPr>
                <w:iCs/>
              </w:rPr>
              <w:t>If you changed the budget amount</w:t>
            </w:r>
            <w:r w:rsidRPr="00D10FF1">
              <w:t xml:space="preserve"> </w:t>
            </w:r>
            <w:r w:rsidRPr="00D10FF1">
              <w:rPr>
                <w:rFonts w:ascii="Symbol" w:hAnsi="Symbol"/>
              </w:rPr>
              <w:t></w:t>
            </w:r>
            <w:r w:rsidRPr="00D10FF1">
              <w:t xml:space="preserve"> </w:t>
            </w:r>
            <w:r>
              <w:t>|Enter Profiles Window.</w:t>
            </w:r>
          </w:p>
          <w:p w:rsidR="00C45F53" w:rsidRPr="00D10FF1" w:rsidRDefault="00C45F53" w:rsidP="00507C02">
            <w:pPr>
              <w:pStyle w:val="BodyText"/>
            </w:pPr>
            <w:r>
              <w:t xml:space="preserve">For Account Groups with budgets at the account level </w:t>
            </w:r>
            <w:r w:rsidRPr="00D10FF1">
              <w:rPr>
                <w:rFonts w:ascii="Symbol" w:hAnsi="Symbol"/>
              </w:rPr>
              <w:t></w:t>
            </w:r>
            <w:r>
              <w:t xml:space="preserve"> Account Selection Window</w:t>
            </w:r>
          </w:p>
        </w:tc>
      </w:tr>
    </w:tbl>
    <w:p w:rsidR="00C45F53" w:rsidRDefault="00C45F53" w:rsidP="00C45F53">
      <w:pPr>
        <w:rPr>
          <w:i/>
          <w:sz w:val="24"/>
          <w:szCs w:val="24"/>
        </w:rPr>
      </w:pPr>
    </w:p>
    <w:p w:rsidR="00C45F53" w:rsidRDefault="00C45F53" w:rsidP="00C45F53">
      <w:pPr>
        <w:rPr>
          <w:i/>
          <w:sz w:val="24"/>
          <w:szCs w:val="24"/>
        </w:rPr>
      </w:pPr>
    </w:p>
    <w:p w:rsidR="00C45F53" w:rsidRPr="00681A17" w:rsidRDefault="00C45F53" w:rsidP="00C45F53">
      <w:pPr>
        <w:rPr>
          <w:i/>
          <w:sz w:val="24"/>
          <w:szCs w:val="24"/>
        </w:rPr>
      </w:pPr>
      <w:r>
        <w:rPr>
          <w:i/>
          <w:sz w:val="24"/>
          <w:szCs w:val="24"/>
        </w:rPr>
        <w:t xml:space="preserve">New </w:t>
      </w:r>
      <w:r w:rsidRPr="00681A17">
        <w:rPr>
          <w:i/>
          <w:sz w:val="24"/>
          <w:szCs w:val="24"/>
        </w:rPr>
        <w:t>prompt</w:t>
      </w:r>
      <w:r>
        <w:rPr>
          <w:i/>
          <w:sz w:val="24"/>
          <w:szCs w:val="24"/>
        </w:rPr>
        <w:t>:</w:t>
      </w:r>
    </w:p>
    <w:tbl>
      <w:tblPr>
        <w:tblW w:w="9214" w:type="dxa"/>
        <w:tblLayout w:type="fixed"/>
        <w:tblCellMar>
          <w:top w:w="57" w:type="dxa"/>
          <w:left w:w="142" w:type="dxa"/>
          <w:bottom w:w="57" w:type="dxa"/>
          <w:right w:w="142" w:type="dxa"/>
        </w:tblCellMar>
        <w:tblLook w:val="0000" w:firstRow="0" w:lastRow="0" w:firstColumn="0" w:lastColumn="0" w:noHBand="0" w:noVBand="0"/>
      </w:tblPr>
      <w:tblGrid>
        <w:gridCol w:w="2268"/>
        <w:gridCol w:w="6946"/>
      </w:tblGrid>
      <w:tr w:rsidR="00D10FF1" w:rsidRPr="00095665" w:rsidTr="002C7335">
        <w:tc>
          <w:tcPr>
            <w:tcW w:w="2268" w:type="dxa"/>
          </w:tcPr>
          <w:p w:rsidR="00D10FF1" w:rsidRDefault="00D10FF1" w:rsidP="002C7335">
            <w:pPr>
              <w:pStyle w:val="Subheading"/>
            </w:pPr>
            <w:r>
              <w:t>Budget By</w:t>
            </w:r>
          </w:p>
        </w:tc>
        <w:tc>
          <w:tcPr>
            <w:tcW w:w="6946" w:type="dxa"/>
          </w:tcPr>
          <w:p w:rsidR="00D10FF1" w:rsidRPr="007C1156" w:rsidRDefault="00D10FF1" w:rsidP="002C7335">
            <w:pPr>
              <w:spacing w:before="100" w:beforeAutospacing="1" w:after="100" w:afterAutospacing="1"/>
            </w:pPr>
            <w:r>
              <w:rPr>
                <w:i/>
                <w:iCs/>
              </w:rPr>
              <w:t xml:space="preserve">(Display only) </w:t>
            </w:r>
            <w:r>
              <w:rPr>
                <w:iCs/>
              </w:rPr>
              <w:t>Set to Group if budgets are held at the account group level, set to Account if the current group uses account level budgets</w:t>
            </w:r>
          </w:p>
        </w:tc>
      </w:tr>
    </w:tbl>
    <w:p w:rsidR="00C45F53" w:rsidRDefault="00C45F53" w:rsidP="00C45F53">
      <w:pPr>
        <w:rPr>
          <w:i/>
          <w:sz w:val="24"/>
          <w:szCs w:val="24"/>
        </w:rPr>
      </w:pPr>
    </w:p>
    <w:p w:rsidR="00C45F53" w:rsidRPr="00681A17" w:rsidRDefault="00C45F53" w:rsidP="00C45F53">
      <w:pPr>
        <w:rPr>
          <w:i/>
          <w:sz w:val="24"/>
          <w:szCs w:val="24"/>
        </w:rPr>
      </w:pPr>
      <w:r>
        <w:rPr>
          <w:i/>
          <w:sz w:val="24"/>
          <w:szCs w:val="24"/>
        </w:rPr>
        <w:t>New button</w:t>
      </w:r>
      <w:r>
        <w:rPr>
          <w:i/>
          <w:sz w:val="24"/>
          <w:szCs w:val="24"/>
        </w:rPr>
        <w:t>:</w:t>
      </w:r>
    </w:p>
    <w:tbl>
      <w:tblPr>
        <w:tblW w:w="9214" w:type="dxa"/>
        <w:tblLayout w:type="fixed"/>
        <w:tblCellMar>
          <w:left w:w="142" w:type="dxa"/>
          <w:right w:w="142" w:type="dxa"/>
        </w:tblCellMar>
        <w:tblLook w:val="0000" w:firstRow="0" w:lastRow="0" w:firstColumn="0" w:lastColumn="0" w:noHBand="0" w:noVBand="0"/>
      </w:tblPr>
      <w:tblGrid>
        <w:gridCol w:w="2268"/>
        <w:gridCol w:w="6946"/>
      </w:tblGrid>
      <w:tr w:rsidR="00D10FF1" w:rsidRPr="00095665" w:rsidTr="002C7335">
        <w:tc>
          <w:tcPr>
            <w:tcW w:w="2268" w:type="dxa"/>
          </w:tcPr>
          <w:p w:rsidR="00D10FF1" w:rsidRDefault="00D10FF1" w:rsidP="002C7335">
            <w:pPr>
              <w:pStyle w:val="Subheading"/>
            </w:pPr>
            <w:r>
              <w:t>Filters</w:t>
            </w:r>
          </w:p>
        </w:tc>
        <w:tc>
          <w:tcPr>
            <w:tcW w:w="6946" w:type="dxa"/>
          </w:tcPr>
          <w:p w:rsidR="00D10FF1" w:rsidRPr="00095665" w:rsidRDefault="00D10FF1" w:rsidP="002C7335">
            <w:pPr>
              <w:pStyle w:val="BodyText"/>
            </w:pPr>
            <w:r>
              <w:t xml:space="preserve">Allows you to select which type of groups to list in the main window. </w:t>
            </w:r>
          </w:p>
        </w:tc>
      </w:tr>
    </w:tbl>
    <w:p w:rsidR="00C45F53" w:rsidRDefault="00C45F53" w:rsidP="007C1156">
      <w:pPr>
        <w:pStyle w:val="BodyText"/>
        <w:rPr>
          <w:i/>
        </w:rPr>
      </w:pPr>
    </w:p>
    <w:p w:rsidR="00C45F53" w:rsidRDefault="00C45F53">
      <w:pPr>
        <w:rPr>
          <w:i/>
        </w:rPr>
      </w:pPr>
      <w:r>
        <w:rPr>
          <w:i/>
        </w:rPr>
        <w:br w:type="page"/>
      </w:r>
    </w:p>
    <w:p w:rsidR="00B45DC6" w:rsidRDefault="00C45F53" w:rsidP="00B45DC6">
      <w:pPr>
        <w:pStyle w:val="Heading3"/>
        <w:ind w:left="0"/>
      </w:pPr>
      <w:r>
        <w:lastRenderedPageBreak/>
        <w:t>P</w:t>
      </w:r>
      <w:r w:rsidR="00202186">
        <w:t>rofit Centre Selection</w:t>
      </w:r>
      <w:r w:rsidR="00B45DC6">
        <w:t xml:space="preserve"> Window</w:t>
      </w:r>
    </w:p>
    <w:p w:rsidR="00E662C0" w:rsidRPr="00E662C0" w:rsidRDefault="00E662C0" w:rsidP="00E662C0">
      <w:pPr>
        <w:pStyle w:val="BodyText"/>
      </w:pPr>
    </w:p>
    <w:p w:rsidR="00B45DC6" w:rsidRDefault="00C45F53" w:rsidP="007C1156">
      <w:pPr>
        <w:pStyle w:val="BodyText"/>
        <w:rPr>
          <w:i/>
        </w:rPr>
      </w:pPr>
      <w:r>
        <w:rPr>
          <w:i/>
        </w:rPr>
        <w:t xml:space="preserve"> </w:t>
      </w:r>
      <w:r w:rsidR="00E662C0">
        <w:rPr>
          <w:noProof/>
        </w:rPr>
        <w:drawing>
          <wp:inline distT="0" distB="0" distL="0" distR="0" wp14:anchorId="743BE31F" wp14:editId="38851E43">
            <wp:extent cx="3905250" cy="4171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905250" cy="4171950"/>
                    </a:xfrm>
                    <a:prstGeom prst="rect">
                      <a:avLst/>
                    </a:prstGeom>
                  </pic:spPr>
                </pic:pic>
              </a:graphicData>
            </a:graphic>
          </wp:inline>
        </w:drawing>
      </w:r>
    </w:p>
    <w:p w:rsidR="00E662C0" w:rsidRPr="007C1156" w:rsidRDefault="00E662C0" w:rsidP="007C1156">
      <w:pPr>
        <w:pStyle w:val="BodyText"/>
        <w:rPr>
          <w:i/>
        </w:rPr>
      </w:pPr>
    </w:p>
    <w:tbl>
      <w:tblPr>
        <w:tblW w:w="9214" w:type="dxa"/>
        <w:tblLayout w:type="fixed"/>
        <w:tblCellMar>
          <w:left w:w="142" w:type="dxa"/>
          <w:right w:w="142" w:type="dxa"/>
        </w:tblCellMar>
        <w:tblLook w:val="0000" w:firstRow="0" w:lastRow="0" w:firstColumn="0" w:lastColumn="0" w:noHBand="0" w:noVBand="0"/>
      </w:tblPr>
      <w:tblGrid>
        <w:gridCol w:w="2268"/>
        <w:gridCol w:w="6946"/>
      </w:tblGrid>
      <w:tr w:rsidR="00B45DC6" w:rsidRPr="00095665" w:rsidTr="00FD48DA">
        <w:tc>
          <w:tcPr>
            <w:tcW w:w="2268" w:type="dxa"/>
          </w:tcPr>
          <w:p w:rsidR="00B45DC6" w:rsidRDefault="00B45DC6" w:rsidP="00FD48DA">
            <w:pPr>
              <w:pStyle w:val="Subheading"/>
            </w:pPr>
          </w:p>
        </w:tc>
        <w:tc>
          <w:tcPr>
            <w:tcW w:w="6946" w:type="dxa"/>
          </w:tcPr>
          <w:p w:rsidR="00B45DC6" w:rsidRDefault="00F33772" w:rsidP="00F33772">
            <w:r w:rsidRPr="00F33772">
              <w:t xml:space="preserve">This window appears when you select Amend Budget by PC or Amend Forecasts from the Budgeting/Forecasting Options Menu </w:t>
            </w:r>
          </w:p>
          <w:p w:rsidR="00F33772" w:rsidRPr="00F33772" w:rsidRDefault="00F33772" w:rsidP="00F33772"/>
        </w:tc>
      </w:tr>
      <w:tr w:rsidR="00B45DC6" w:rsidRPr="00095665" w:rsidTr="00FD48DA">
        <w:tc>
          <w:tcPr>
            <w:tcW w:w="2268" w:type="dxa"/>
          </w:tcPr>
          <w:p w:rsidR="00B45DC6" w:rsidRDefault="00F33772" w:rsidP="00FD48DA">
            <w:pPr>
              <w:pStyle w:val="Subheading"/>
            </w:pPr>
            <w:r>
              <w:t>Purpose</w:t>
            </w:r>
          </w:p>
        </w:tc>
        <w:tc>
          <w:tcPr>
            <w:tcW w:w="6946" w:type="dxa"/>
          </w:tcPr>
          <w:p w:rsidR="00B45DC6" w:rsidRPr="00DD586D" w:rsidRDefault="00F33772" w:rsidP="00877116">
            <w:pPr>
              <w:pStyle w:val="BodyText"/>
            </w:pPr>
            <w:r>
              <w:t>This window lists all the company and profit centre combinations, and it enables you to select the one whose budgets and forecasts you want to work on</w:t>
            </w:r>
            <w:r w:rsidR="00877116">
              <w:t>.</w:t>
            </w:r>
          </w:p>
        </w:tc>
      </w:tr>
      <w:tr w:rsidR="00B45DC6" w:rsidTr="00FD48DA">
        <w:tc>
          <w:tcPr>
            <w:tcW w:w="2268" w:type="dxa"/>
          </w:tcPr>
          <w:p w:rsidR="00B45DC6" w:rsidRPr="00021D8B" w:rsidRDefault="00F33772" w:rsidP="00FD48DA">
            <w:pPr>
              <w:pStyle w:val="Subheading"/>
            </w:pPr>
            <w:r>
              <w:t>Copy Budget</w:t>
            </w:r>
          </w:p>
        </w:tc>
        <w:tc>
          <w:tcPr>
            <w:tcW w:w="6946" w:type="dxa"/>
          </w:tcPr>
          <w:p w:rsidR="00B45DC6" w:rsidRPr="00021D8B" w:rsidRDefault="00EA738B" w:rsidP="00877116">
            <w:pPr>
              <w:pStyle w:val="BodyText"/>
            </w:pPr>
            <w:r>
              <w:rPr>
                <w:rFonts w:ascii="Symbol" w:hAnsi="Symbol"/>
              </w:rPr>
              <w:t></w:t>
            </w:r>
            <w:r>
              <w:t xml:space="preserve"> </w:t>
            </w:r>
            <w:r w:rsidR="00416694">
              <w:t>Budget Copy Facility Window</w:t>
            </w:r>
          </w:p>
        </w:tc>
      </w:tr>
      <w:tr w:rsidR="00F33772" w:rsidTr="00FD48DA">
        <w:tc>
          <w:tcPr>
            <w:tcW w:w="2268" w:type="dxa"/>
          </w:tcPr>
          <w:p w:rsidR="00F33772" w:rsidRDefault="00F33772" w:rsidP="00FD48DA">
            <w:pPr>
              <w:pStyle w:val="Subheading"/>
            </w:pPr>
            <w:r>
              <w:t>Zero Budget</w:t>
            </w:r>
          </w:p>
        </w:tc>
        <w:tc>
          <w:tcPr>
            <w:tcW w:w="6946" w:type="dxa"/>
          </w:tcPr>
          <w:p w:rsidR="00F33772" w:rsidRPr="00021D8B" w:rsidRDefault="00EA738B" w:rsidP="00877116">
            <w:pPr>
              <w:pStyle w:val="BodyText"/>
            </w:pPr>
            <w:r>
              <w:rPr>
                <w:rFonts w:ascii="Symbol" w:hAnsi="Symbol"/>
              </w:rPr>
              <w:t></w:t>
            </w:r>
            <w:r>
              <w:t xml:space="preserve"> Zero Budget Confirmation Window</w:t>
            </w:r>
          </w:p>
        </w:tc>
      </w:tr>
      <w:tr w:rsidR="00F33772" w:rsidTr="00FD48DA">
        <w:tc>
          <w:tcPr>
            <w:tcW w:w="2268" w:type="dxa"/>
          </w:tcPr>
          <w:p w:rsidR="00F33772" w:rsidRDefault="00F33772" w:rsidP="00FD48DA">
            <w:pPr>
              <w:pStyle w:val="Subheading"/>
            </w:pPr>
            <w:r>
              <w:t>Amend Budgets</w:t>
            </w:r>
          </w:p>
        </w:tc>
        <w:tc>
          <w:tcPr>
            <w:tcW w:w="6946" w:type="dxa"/>
          </w:tcPr>
          <w:p w:rsidR="00F33772" w:rsidRPr="00021D8B" w:rsidRDefault="00EA738B" w:rsidP="00877116">
            <w:pPr>
              <w:pStyle w:val="BodyText"/>
            </w:pPr>
            <w:r>
              <w:rPr>
                <w:rFonts w:ascii="Symbol" w:hAnsi="Symbol"/>
              </w:rPr>
              <w:t></w:t>
            </w:r>
            <w:r>
              <w:t xml:space="preserve"> Profit Centre Budgets Window</w:t>
            </w:r>
          </w:p>
        </w:tc>
      </w:tr>
    </w:tbl>
    <w:p w:rsidR="00E662C0" w:rsidRDefault="00E662C0">
      <w:pPr>
        <w:rPr>
          <w:rFonts w:ascii="Arial" w:hAnsi="Arial"/>
          <w:b/>
          <w:kern w:val="28"/>
          <w:sz w:val="36"/>
        </w:rPr>
      </w:pPr>
    </w:p>
    <w:p w:rsidR="00E662C0" w:rsidRDefault="00E662C0">
      <w:pPr>
        <w:rPr>
          <w:rFonts w:ascii="Arial" w:hAnsi="Arial"/>
          <w:b/>
          <w:kern w:val="28"/>
          <w:sz w:val="36"/>
        </w:rPr>
      </w:pPr>
      <w:r>
        <w:rPr>
          <w:rFonts w:ascii="Arial" w:hAnsi="Arial"/>
          <w:b/>
          <w:kern w:val="28"/>
          <w:sz w:val="36"/>
        </w:rPr>
        <w:br w:type="page"/>
      </w:r>
    </w:p>
    <w:p w:rsidR="00DE0EFC" w:rsidRDefault="00DE0EFC">
      <w:pPr>
        <w:rPr>
          <w:rFonts w:ascii="Arial" w:hAnsi="Arial"/>
          <w:b/>
          <w:kern w:val="28"/>
          <w:sz w:val="36"/>
        </w:rPr>
      </w:pPr>
    </w:p>
    <w:p w:rsidR="00203F09" w:rsidRDefault="007A0100" w:rsidP="00203F09">
      <w:pPr>
        <w:pStyle w:val="Heading3"/>
        <w:ind w:left="0"/>
      </w:pPr>
      <w:r>
        <w:t>Profit Centre Budgets Window</w:t>
      </w:r>
    </w:p>
    <w:p w:rsidR="00E662C0" w:rsidRDefault="00E662C0" w:rsidP="00296146">
      <w:pPr>
        <w:pStyle w:val="BodyText"/>
        <w:rPr>
          <w:i/>
        </w:rPr>
      </w:pPr>
      <w:r>
        <w:rPr>
          <w:noProof/>
        </w:rPr>
        <w:drawing>
          <wp:inline distT="0" distB="0" distL="0" distR="0" wp14:anchorId="359457F5" wp14:editId="49F07D2D">
            <wp:extent cx="5943600" cy="4772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43600" cy="4772025"/>
                    </a:xfrm>
                    <a:prstGeom prst="rect">
                      <a:avLst/>
                    </a:prstGeom>
                  </pic:spPr>
                </pic:pic>
              </a:graphicData>
            </a:graphic>
          </wp:inline>
        </w:drawing>
      </w:r>
    </w:p>
    <w:p w:rsidR="00E662C0" w:rsidRDefault="00E662C0" w:rsidP="00296146">
      <w:pPr>
        <w:pStyle w:val="BodyText"/>
        <w:rPr>
          <w:i/>
        </w:rPr>
      </w:pPr>
    </w:p>
    <w:tbl>
      <w:tblPr>
        <w:tblW w:w="9214" w:type="dxa"/>
        <w:tblLayout w:type="fixed"/>
        <w:tblCellMar>
          <w:left w:w="142" w:type="dxa"/>
          <w:right w:w="142" w:type="dxa"/>
        </w:tblCellMar>
        <w:tblLook w:val="0000" w:firstRow="0" w:lastRow="0" w:firstColumn="0" w:lastColumn="0" w:noHBand="0" w:noVBand="0"/>
      </w:tblPr>
      <w:tblGrid>
        <w:gridCol w:w="2268"/>
        <w:gridCol w:w="6946"/>
      </w:tblGrid>
      <w:tr w:rsidR="00DE2ED0" w:rsidTr="00110A9F">
        <w:tc>
          <w:tcPr>
            <w:tcW w:w="2268" w:type="dxa"/>
          </w:tcPr>
          <w:p w:rsidR="00DE2ED0" w:rsidRDefault="00DE2ED0" w:rsidP="00110A9F">
            <w:pPr>
              <w:pStyle w:val="Subheading"/>
            </w:pPr>
          </w:p>
        </w:tc>
        <w:tc>
          <w:tcPr>
            <w:tcW w:w="6946" w:type="dxa"/>
          </w:tcPr>
          <w:p w:rsidR="00C81E85" w:rsidRDefault="00681A17" w:rsidP="00681A17">
            <w:pPr>
              <w:pStyle w:val="BodyText"/>
            </w:pPr>
            <w:r>
              <w:t>This window appears when you select Amend Budgets from the Profit Centre Selection Window.</w:t>
            </w:r>
          </w:p>
        </w:tc>
      </w:tr>
      <w:tr w:rsidR="00296146" w:rsidTr="00110A9F">
        <w:tc>
          <w:tcPr>
            <w:tcW w:w="2268" w:type="dxa"/>
          </w:tcPr>
          <w:p w:rsidR="00296146" w:rsidRDefault="00296146" w:rsidP="00110A9F">
            <w:pPr>
              <w:pStyle w:val="Subheading"/>
            </w:pPr>
            <w:r>
              <w:t>Purpose</w:t>
            </w:r>
          </w:p>
        </w:tc>
        <w:tc>
          <w:tcPr>
            <w:tcW w:w="6946" w:type="dxa"/>
          </w:tcPr>
          <w:p w:rsidR="00B17767" w:rsidRPr="00424FF0" w:rsidRDefault="00681A17" w:rsidP="00681A17">
            <w:pPr>
              <w:pStyle w:val="BodyText"/>
            </w:pPr>
            <w:r>
              <w:t>This window lists the groups which have been enabled for the selected company and profit centre, showing their total annual budget and how this is allocated across the financial periods. Details of the selected company and profit centre are shown in the upper part of the window</w:t>
            </w:r>
            <w:proofErr w:type="gramStart"/>
            <w:r>
              <w:t>.</w:t>
            </w:r>
            <w:r w:rsidR="00B17767">
              <w:t>.</w:t>
            </w:r>
            <w:proofErr w:type="gramEnd"/>
          </w:p>
        </w:tc>
      </w:tr>
      <w:tr w:rsidR="00B17767" w:rsidTr="00110A9F">
        <w:tc>
          <w:tcPr>
            <w:tcW w:w="2268" w:type="dxa"/>
          </w:tcPr>
          <w:p w:rsidR="00B17767" w:rsidRPr="00C81E85" w:rsidRDefault="00B17767" w:rsidP="00110A9F">
            <w:pPr>
              <w:pStyle w:val="Subheading"/>
              <w:rPr>
                <w:b w:val="0"/>
                <w:i/>
              </w:rPr>
            </w:pPr>
          </w:p>
        </w:tc>
        <w:tc>
          <w:tcPr>
            <w:tcW w:w="6946" w:type="dxa"/>
          </w:tcPr>
          <w:p w:rsidR="00C81E85" w:rsidRDefault="00681A17" w:rsidP="00B17767">
            <w:pPr>
              <w:pStyle w:val="BodyText"/>
            </w:pPr>
            <w:r>
              <w:t>This window enables you to:</w:t>
            </w:r>
          </w:p>
          <w:p w:rsidR="00681A17" w:rsidRDefault="00681A17" w:rsidP="00650395">
            <w:pPr>
              <w:pStyle w:val="BodyText"/>
              <w:numPr>
                <w:ilvl w:val="0"/>
                <w:numId w:val="7"/>
              </w:numPr>
            </w:pPr>
            <w:r>
              <w:t>Amend the budget allocation for each group by entering either a percentage adjustment or an amount the budget is to be increased or decreased by.</w:t>
            </w:r>
          </w:p>
          <w:p w:rsidR="00681A17" w:rsidRDefault="00681A17" w:rsidP="00650395">
            <w:pPr>
              <w:pStyle w:val="BodyText"/>
              <w:numPr>
                <w:ilvl w:val="0"/>
                <w:numId w:val="7"/>
              </w:numPr>
            </w:pPr>
            <w:r>
              <w:t>Distribute the amended budget across the financial periods via a periodic profile or manually.</w:t>
            </w:r>
          </w:p>
          <w:p w:rsidR="00681A17" w:rsidRPr="00C81E85" w:rsidRDefault="00681A17" w:rsidP="00650395">
            <w:pPr>
              <w:pStyle w:val="BodyText"/>
              <w:numPr>
                <w:ilvl w:val="0"/>
                <w:numId w:val="7"/>
              </w:numPr>
            </w:pPr>
            <w:r>
              <w:t>Select a Group that uses Account Level budgets for further processing.</w:t>
            </w:r>
          </w:p>
        </w:tc>
      </w:tr>
      <w:tr w:rsidR="00C81E85" w:rsidTr="00110A9F">
        <w:tc>
          <w:tcPr>
            <w:tcW w:w="2268" w:type="dxa"/>
          </w:tcPr>
          <w:p w:rsidR="00C81E85" w:rsidRPr="00C81E85" w:rsidRDefault="00C81E85" w:rsidP="00110A9F">
            <w:pPr>
              <w:pStyle w:val="Subheading"/>
              <w:rPr>
                <w:b w:val="0"/>
                <w:i/>
              </w:rPr>
            </w:pPr>
          </w:p>
        </w:tc>
        <w:tc>
          <w:tcPr>
            <w:tcW w:w="6946" w:type="dxa"/>
          </w:tcPr>
          <w:p w:rsidR="00C81E85" w:rsidRPr="00C81E85" w:rsidRDefault="00681A17" w:rsidP="00B17767">
            <w:pPr>
              <w:pStyle w:val="BodyText"/>
            </w:pPr>
            <w:r>
              <w:t>The total annual budget for the profit centre is shown in the window banner and, for account budgets, the total and profit centre budget for the group to which the account belongs is shown at the bottom of the screen</w:t>
            </w:r>
            <w:r w:rsidR="00C81E85">
              <w:t>.</w:t>
            </w:r>
          </w:p>
        </w:tc>
      </w:tr>
    </w:tbl>
    <w:p w:rsidR="00681A17" w:rsidRDefault="00681A17"/>
    <w:p w:rsidR="00E662C0" w:rsidRDefault="00E662C0"/>
    <w:p w:rsidR="00681A17" w:rsidRPr="00681A17" w:rsidRDefault="00681A17">
      <w:pPr>
        <w:rPr>
          <w:i/>
          <w:sz w:val="24"/>
          <w:szCs w:val="24"/>
        </w:rPr>
      </w:pPr>
      <w:r w:rsidRPr="00681A17">
        <w:rPr>
          <w:i/>
          <w:sz w:val="24"/>
          <w:szCs w:val="24"/>
        </w:rPr>
        <w:lastRenderedPageBreak/>
        <w:t xml:space="preserve">The prompts in </w:t>
      </w:r>
      <w:r>
        <w:rPr>
          <w:i/>
          <w:sz w:val="24"/>
          <w:szCs w:val="24"/>
        </w:rPr>
        <w:t>the upper part of the window are:</w:t>
      </w:r>
    </w:p>
    <w:p w:rsidR="00681A17" w:rsidRDefault="00681A17"/>
    <w:tbl>
      <w:tblPr>
        <w:tblW w:w="9214" w:type="dxa"/>
        <w:tblLayout w:type="fixed"/>
        <w:tblCellMar>
          <w:left w:w="142" w:type="dxa"/>
          <w:right w:w="142" w:type="dxa"/>
        </w:tblCellMar>
        <w:tblLook w:val="0000" w:firstRow="0" w:lastRow="0" w:firstColumn="0" w:lastColumn="0" w:noHBand="0" w:noVBand="0"/>
      </w:tblPr>
      <w:tblGrid>
        <w:gridCol w:w="2268"/>
        <w:gridCol w:w="6946"/>
      </w:tblGrid>
      <w:tr w:rsidR="00264476" w:rsidTr="00110A9F">
        <w:tc>
          <w:tcPr>
            <w:tcW w:w="2268" w:type="dxa"/>
          </w:tcPr>
          <w:p w:rsidR="00264476" w:rsidRDefault="00264476" w:rsidP="00110A9F">
            <w:pPr>
              <w:pStyle w:val="Subheading"/>
            </w:pPr>
            <w:r>
              <w:t>Budget by</w:t>
            </w:r>
          </w:p>
        </w:tc>
        <w:tc>
          <w:tcPr>
            <w:tcW w:w="6946" w:type="dxa"/>
          </w:tcPr>
          <w:p w:rsidR="00264476" w:rsidRPr="00264476" w:rsidRDefault="00264476" w:rsidP="00264476">
            <w:pPr>
              <w:pStyle w:val="BodyText"/>
              <w:rPr>
                <w:iCs/>
              </w:rPr>
            </w:pPr>
            <w:r>
              <w:rPr>
                <w:i/>
                <w:iCs/>
              </w:rPr>
              <w:t xml:space="preserve">(Display only) </w:t>
            </w:r>
            <w:r>
              <w:rPr>
                <w:iCs/>
              </w:rPr>
              <w:t>Set to Group if budgets are held at the account group level, set to Account if the current group uses account level budgets.</w:t>
            </w:r>
          </w:p>
        </w:tc>
      </w:tr>
      <w:tr w:rsidR="00681A17" w:rsidTr="00110A9F">
        <w:tc>
          <w:tcPr>
            <w:tcW w:w="2268" w:type="dxa"/>
          </w:tcPr>
          <w:p w:rsidR="00681A17" w:rsidRPr="00681A17" w:rsidRDefault="00681A17" w:rsidP="00110A9F">
            <w:pPr>
              <w:pStyle w:val="Subheading"/>
            </w:pPr>
            <w:r>
              <w:t>Profile</w:t>
            </w:r>
          </w:p>
        </w:tc>
        <w:tc>
          <w:tcPr>
            <w:tcW w:w="6946" w:type="dxa"/>
          </w:tcPr>
          <w:p w:rsidR="00681A17" w:rsidRDefault="00264476" w:rsidP="00B17767">
            <w:pPr>
              <w:pStyle w:val="BodyText"/>
            </w:pPr>
            <w:r>
              <w:t>The periodic profile to be used to distribute the account group's budget across the periods in the selected financial year. Press &lt;F1&gt; for a pop-up enquiry. Do one of the following:</w:t>
            </w:r>
          </w:p>
          <w:p w:rsidR="00264476" w:rsidRDefault="00264476" w:rsidP="00650395">
            <w:pPr>
              <w:pStyle w:val="BodyText"/>
              <w:numPr>
                <w:ilvl w:val="0"/>
                <w:numId w:val="8"/>
              </w:numPr>
            </w:pPr>
            <w:r>
              <w:t>If you want to increase or decrease the annual budget by a fixed amount and to allocate this across the financial periods by means of a periodic profile, enter the code of the profile to be used.</w:t>
            </w:r>
          </w:p>
          <w:p w:rsidR="00264476" w:rsidRDefault="00264476" w:rsidP="00650395">
            <w:pPr>
              <w:pStyle w:val="BodyText"/>
              <w:numPr>
                <w:ilvl w:val="0"/>
                <w:numId w:val="8"/>
              </w:numPr>
            </w:pPr>
            <w:r>
              <w:t>If you want to increase the existing periodic figures by a percentage, leave the profile blank.</w:t>
            </w:r>
          </w:p>
          <w:p w:rsidR="00264476" w:rsidRDefault="00264476" w:rsidP="00650395">
            <w:pPr>
              <w:pStyle w:val="BodyText"/>
              <w:numPr>
                <w:ilvl w:val="0"/>
                <w:numId w:val="8"/>
              </w:numPr>
            </w:pPr>
            <w:r>
              <w:t>If you want to enter the periodic budgets manually, leave both the profile and the next prompt blank.</w:t>
            </w:r>
          </w:p>
          <w:p w:rsidR="00264476" w:rsidRDefault="00264476" w:rsidP="00650395">
            <w:pPr>
              <w:pStyle w:val="BodyText"/>
              <w:numPr>
                <w:ilvl w:val="0"/>
                <w:numId w:val="8"/>
              </w:numPr>
            </w:pPr>
            <w:r>
              <w:t>If you want to redistribute the existing total annual budget for the profit centre according to a different profile, enter the profile to be used and leave the next prompt blank.</w:t>
            </w:r>
          </w:p>
        </w:tc>
      </w:tr>
      <w:tr w:rsidR="00681A17" w:rsidTr="00110A9F">
        <w:tc>
          <w:tcPr>
            <w:tcW w:w="2268" w:type="dxa"/>
          </w:tcPr>
          <w:p w:rsidR="00681A17" w:rsidRPr="00681A17" w:rsidRDefault="00264476" w:rsidP="00110A9F">
            <w:pPr>
              <w:pStyle w:val="Subheading"/>
            </w:pPr>
            <w:r>
              <w:t>Value/%age</w:t>
            </w:r>
          </w:p>
        </w:tc>
        <w:tc>
          <w:tcPr>
            <w:tcW w:w="6946" w:type="dxa"/>
          </w:tcPr>
          <w:p w:rsidR="00681A17" w:rsidRDefault="00264476" w:rsidP="00B17767">
            <w:pPr>
              <w:pStyle w:val="BodyText"/>
            </w:pPr>
            <w:r>
              <w:t>Do one of the following:</w:t>
            </w:r>
          </w:p>
          <w:p w:rsidR="00264476" w:rsidRDefault="00264476" w:rsidP="00650395">
            <w:pPr>
              <w:pStyle w:val="BodyText"/>
              <w:numPr>
                <w:ilvl w:val="0"/>
                <w:numId w:val="9"/>
              </w:numPr>
            </w:pPr>
            <w:r>
              <w:t>Enter the change in the budget as a positive or negative amount.</w:t>
            </w:r>
          </w:p>
          <w:p w:rsidR="00264476" w:rsidRDefault="00264476" w:rsidP="00650395">
            <w:pPr>
              <w:pStyle w:val="BodyText"/>
              <w:numPr>
                <w:ilvl w:val="0"/>
                <w:numId w:val="9"/>
              </w:numPr>
            </w:pPr>
            <w:r>
              <w:t>Enter the percentage by which the budget is to increase or decrease. You indicate a percentage change with a trailing % sign; a decrease by a negative figure, an increase by a positive figure. The percentage change can have up to four places before and after the decimal point; e.g. 1234.1234%.</w:t>
            </w:r>
          </w:p>
          <w:p w:rsidR="00264476" w:rsidRDefault="00264476" w:rsidP="00650395">
            <w:pPr>
              <w:pStyle w:val="BodyText"/>
              <w:numPr>
                <w:ilvl w:val="0"/>
                <w:numId w:val="9"/>
              </w:numPr>
            </w:pPr>
            <w:r>
              <w:t>Leave this and the profile prompt blank if you want to enter the periodic budgets manually.</w:t>
            </w:r>
          </w:p>
        </w:tc>
      </w:tr>
      <w:tr w:rsidR="00264476" w:rsidTr="00110A9F">
        <w:tc>
          <w:tcPr>
            <w:tcW w:w="2268" w:type="dxa"/>
          </w:tcPr>
          <w:p w:rsidR="00264476" w:rsidRPr="00264476" w:rsidRDefault="00264476" w:rsidP="00110A9F">
            <w:pPr>
              <w:pStyle w:val="Subheading"/>
              <w:rPr>
                <w:b w:val="0"/>
                <w:i/>
              </w:rPr>
            </w:pPr>
            <w:r w:rsidRPr="00264476">
              <w:rPr>
                <w:b w:val="0"/>
                <w:i/>
              </w:rPr>
              <w:t>Note</w:t>
            </w:r>
          </w:p>
        </w:tc>
        <w:tc>
          <w:tcPr>
            <w:tcW w:w="6946" w:type="dxa"/>
          </w:tcPr>
          <w:p w:rsidR="00264476" w:rsidRDefault="009855D5" w:rsidP="00B17767">
            <w:pPr>
              <w:pStyle w:val="BodyText"/>
            </w:pPr>
            <w:r>
              <w:t>If you enter a non-percentage change in the budget here but you did not enter a profile at the previous prompt, you are prompted for the periodic profile to be used.</w:t>
            </w:r>
          </w:p>
        </w:tc>
      </w:tr>
      <w:tr w:rsidR="009855D5" w:rsidTr="00110A9F">
        <w:tc>
          <w:tcPr>
            <w:tcW w:w="2268" w:type="dxa"/>
          </w:tcPr>
          <w:p w:rsidR="009855D5" w:rsidRPr="009855D5" w:rsidRDefault="009855D5" w:rsidP="00110A9F">
            <w:pPr>
              <w:pStyle w:val="Subheading"/>
            </w:pPr>
            <w:r>
              <w:t>Annual Budget</w:t>
            </w:r>
          </w:p>
        </w:tc>
        <w:tc>
          <w:tcPr>
            <w:tcW w:w="6946" w:type="dxa"/>
          </w:tcPr>
          <w:p w:rsidR="009855D5" w:rsidRDefault="009855D5" w:rsidP="00B17767">
            <w:pPr>
              <w:pStyle w:val="BodyText"/>
            </w:pPr>
            <w:r>
              <w:rPr>
                <w:i/>
                <w:iCs/>
              </w:rPr>
              <w:t>(Display only.)</w:t>
            </w:r>
            <w:r>
              <w:t xml:space="preserve"> The selected company's total annual budget for the profit centre and account group combination.</w:t>
            </w:r>
          </w:p>
        </w:tc>
      </w:tr>
      <w:tr w:rsidR="009855D5" w:rsidTr="00110A9F">
        <w:tc>
          <w:tcPr>
            <w:tcW w:w="2268" w:type="dxa"/>
          </w:tcPr>
          <w:p w:rsidR="009855D5" w:rsidRPr="009855D5" w:rsidRDefault="009855D5" w:rsidP="00110A9F">
            <w:pPr>
              <w:pStyle w:val="Subheading"/>
              <w:rPr>
                <w:b w:val="0"/>
                <w:i/>
              </w:rPr>
            </w:pPr>
            <w:r w:rsidRPr="009855D5">
              <w:rPr>
                <w:b w:val="0"/>
                <w:i/>
              </w:rPr>
              <w:t>Note</w:t>
            </w:r>
          </w:p>
        </w:tc>
        <w:tc>
          <w:tcPr>
            <w:tcW w:w="6946" w:type="dxa"/>
          </w:tcPr>
          <w:p w:rsidR="009855D5" w:rsidRDefault="009855D5" w:rsidP="00B17767">
            <w:pPr>
              <w:pStyle w:val="BodyText"/>
              <w:rPr>
                <w:i/>
                <w:iCs/>
              </w:rPr>
            </w:pPr>
            <w:r>
              <w:t>Budget amounts are always whole numbers and are displayed as positive amounts. General Ledger automatically stores the budget amount as a debit or credit according to the type of the account group. A message in the lower part of the window indicates whether the budget is stored as a credit or debit value.</w:t>
            </w:r>
          </w:p>
        </w:tc>
      </w:tr>
    </w:tbl>
    <w:p w:rsidR="00296146" w:rsidRPr="00E662C0" w:rsidRDefault="009855D5" w:rsidP="00296146">
      <w:pPr>
        <w:pStyle w:val="Menu"/>
        <w:rPr>
          <w:rFonts w:ascii="Times New Roman" w:hAnsi="Times New Roman"/>
          <w:sz w:val="24"/>
          <w:szCs w:val="24"/>
        </w:rPr>
      </w:pPr>
      <w:r w:rsidRPr="00E662C0">
        <w:rPr>
          <w:rFonts w:ascii="Times New Roman" w:hAnsi="Times New Roman"/>
          <w:sz w:val="24"/>
          <w:szCs w:val="24"/>
        </w:rPr>
        <w:t>The prompts in the lower part of the window for each period are</w:t>
      </w:r>
      <w:r w:rsidR="00296146" w:rsidRPr="00E662C0">
        <w:rPr>
          <w:rFonts w:ascii="Times New Roman" w:hAnsi="Times New Roman"/>
          <w:sz w:val="24"/>
          <w:szCs w:val="24"/>
        </w:rPr>
        <w:t>:</w:t>
      </w:r>
    </w:p>
    <w:tbl>
      <w:tblPr>
        <w:tblW w:w="9214" w:type="dxa"/>
        <w:tblLayout w:type="fixed"/>
        <w:tblCellMar>
          <w:left w:w="142" w:type="dxa"/>
          <w:right w:w="142" w:type="dxa"/>
        </w:tblCellMar>
        <w:tblLook w:val="0000" w:firstRow="0" w:lastRow="0" w:firstColumn="0" w:lastColumn="0" w:noHBand="0" w:noVBand="0"/>
      </w:tblPr>
      <w:tblGrid>
        <w:gridCol w:w="2268"/>
        <w:gridCol w:w="6946"/>
      </w:tblGrid>
      <w:tr w:rsidR="00296146" w:rsidRPr="00095665" w:rsidTr="00110A9F">
        <w:tc>
          <w:tcPr>
            <w:tcW w:w="2268" w:type="dxa"/>
          </w:tcPr>
          <w:p w:rsidR="00296146" w:rsidRDefault="009855D5" w:rsidP="00110A9F">
            <w:pPr>
              <w:pStyle w:val="Subheading"/>
            </w:pPr>
            <w:r>
              <w:t>Period</w:t>
            </w:r>
            <w:r w:rsidR="00296146">
              <w:t xml:space="preserve"> </w:t>
            </w:r>
          </w:p>
        </w:tc>
        <w:tc>
          <w:tcPr>
            <w:tcW w:w="6946" w:type="dxa"/>
          </w:tcPr>
          <w:p w:rsidR="00296146" w:rsidRPr="00095665" w:rsidRDefault="00DE2ED0" w:rsidP="00110A9F">
            <w:pPr>
              <w:pStyle w:val="BodyText"/>
            </w:pPr>
            <w:r>
              <w:t>Displays all the transactions for the selected transaction analysis line.</w:t>
            </w:r>
            <w:r w:rsidR="00296146">
              <w:t xml:space="preserve"> </w:t>
            </w:r>
          </w:p>
        </w:tc>
      </w:tr>
      <w:tr w:rsidR="00DE2ED0" w:rsidRPr="00095665" w:rsidTr="00110A9F">
        <w:tc>
          <w:tcPr>
            <w:tcW w:w="2268" w:type="dxa"/>
          </w:tcPr>
          <w:p w:rsidR="00DE2ED0" w:rsidRDefault="009855D5" w:rsidP="00110A9F">
            <w:pPr>
              <w:pStyle w:val="Subheading"/>
            </w:pPr>
            <w:r>
              <w:t>Budget</w:t>
            </w:r>
          </w:p>
        </w:tc>
        <w:tc>
          <w:tcPr>
            <w:tcW w:w="6946" w:type="dxa"/>
          </w:tcPr>
          <w:p w:rsidR="003D7E3D" w:rsidRPr="003D7E3D" w:rsidRDefault="003D7E3D" w:rsidP="00C81E85">
            <w:pPr>
              <w:pStyle w:val="BodyText"/>
              <w:rPr>
                <w:i/>
              </w:rPr>
            </w:pPr>
            <w:r w:rsidRPr="003D7E3D">
              <w:rPr>
                <w:i/>
              </w:rPr>
              <w:t>(This option is not available if the account only uses one analysis category).</w:t>
            </w:r>
          </w:p>
          <w:p w:rsidR="00B17767" w:rsidRDefault="00B17767" w:rsidP="00C81E85">
            <w:pPr>
              <w:pStyle w:val="BodyText"/>
            </w:pPr>
            <w:r>
              <w:t xml:space="preserve">Allows you to switch between displaying the details totalled by analysis category 1 </w:t>
            </w:r>
            <w:r w:rsidR="00C81E85">
              <w:t xml:space="preserve">and </w:t>
            </w:r>
            <w:r>
              <w:t xml:space="preserve">analysis category </w:t>
            </w:r>
            <w:r w:rsidR="00C81E85">
              <w:t>2.</w:t>
            </w:r>
          </w:p>
        </w:tc>
      </w:tr>
      <w:tr w:rsidR="00021D8B" w:rsidTr="006F2C7B">
        <w:tc>
          <w:tcPr>
            <w:tcW w:w="2268" w:type="dxa"/>
          </w:tcPr>
          <w:p w:rsidR="00021D8B" w:rsidRPr="004F6C1C" w:rsidRDefault="00021D8B" w:rsidP="006F2C7B">
            <w:pPr>
              <w:pStyle w:val="Subheading"/>
              <w:rPr>
                <w:b w:val="0"/>
                <w:i/>
              </w:rPr>
            </w:pPr>
            <w:r w:rsidRPr="004F6C1C">
              <w:rPr>
                <w:b w:val="0"/>
                <w:i/>
              </w:rPr>
              <w:t xml:space="preserve">On </w:t>
            </w:r>
            <w:r w:rsidR="009855D5" w:rsidRPr="004F6C1C">
              <w:rPr>
                <w:b w:val="0"/>
                <w:i/>
              </w:rPr>
              <w:t>completion</w:t>
            </w:r>
          </w:p>
        </w:tc>
        <w:tc>
          <w:tcPr>
            <w:tcW w:w="6946" w:type="dxa"/>
          </w:tcPr>
          <w:p w:rsidR="00021D8B" w:rsidRDefault="00282DC4" w:rsidP="009855D5">
            <w:pPr>
              <w:pStyle w:val="BodyText"/>
            </w:pPr>
            <w:r w:rsidRPr="00282DC4">
              <w:rPr>
                <w:i/>
              </w:rPr>
              <w:t>(Account Group Level Budgets)</w:t>
            </w:r>
            <w:r>
              <w:t xml:space="preserve"> </w:t>
            </w:r>
            <w:r w:rsidR="009855D5">
              <w:t>General Ledger automatically calculates the new periodic and total annual budget according to your responses</w:t>
            </w:r>
            <w:r w:rsidR="00021D8B" w:rsidRPr="00021D8B">
              <w:t>.</w:t>
            </w:r>
          </w:p>
          <w:p w:rsidR="00282DC4" w:rsidRPr="00282DC4" w:rsidRDefault="00282DC4" w:rsidP="009855D5">
            <w:pPr>
              <w:pStyle w:val="BodyText"/>
              <w:rPr>
                <w:i/>
              </w:rPr>
            </w:pPr>
            <w:r w:rsidRPr="00282DC4">
              <w:rPr>
                <w:i/>
              </w:rPr>
              <w:t xml:space="preserve">(Account Level Budgets) </w:t>
            </w:r>
            <w:r>
              <w:rPr>
                <w:rFonts w:ascii="Symbol" w:hAnsi="Symbol"/>
              </w:rPr>
              <w:t></w:t>
            </w:r>
            <w:r>
              <w:rPr>
                <w:i/>
              </w:rPr>
              <w:t xml:space="preserve"> Profit Centre Budgets Window for Accounts.</w:t>
            </w:r>
          </w:p>
        </w:tc>
      </w:tr>
      <w:tr w:rsidR="004F6C1C" w:rsidTr="006F2C7B">
        <w:tc>
          <w:tcPr>
            <w:tcW w:w="2268" w:type="dxa"/>
          </w:tcPr>
          <w:p w:rsidR="004F6C1C" w:rsidRPr="004F6C1C" w:rsidRDefault="004F6C1C" w:rsidP="006F2C7B">
            <w:pPr>
              <w:pStyle w:val="Subheading"/>
              <w:rPr>
                <w:b w:val="0"/>
                <w:i/>
              </w:rPr>
            </w:pPr>
            <w:r w:rsidRPr="004F6C1C">
              <w:rPr>
                <w:b w:val="0"/>
                <w:i/>
              </w:rPr>
              <w:t>On Exit</w:t>
            </w:r>
          </w:p>
        </w:tc>
        <w:tc>
          <w:tcPr>
            <w:tcW w:w="6946" w:type="dxa"/>
          </w:tcPr>
          <w:p w:rsidR="004F6C1C" w:rsidRDefault="004F6C1C" w:rsidP="004F6C1C">
            <w:pPr>
              <w:pStyle w:val="body-text"/>
            </w:pPr>
            <w:r>
              <w:rPr>
                <w:rFonts w:ascii="Symbol" w:hAnsi="Symbol"/>
              </w:rPr>
              <w:t></w:t>
            </w:r>
            <w:r>
              <w:t xml:space="preserve"> </w:t>
            </w:r>
            <w:hyperlink r:id="rId13" w:history="1">
              <w:r>
                <w:rPr>
                  <w:rStyle w:val="Hyperlink"/>
                </w:rPr>
                <w:t>Profit Centre Selection Window</w:t>
              </w:r>
            </w:hyperlink>
          </w:p>
        </w:tc>
      </w:tr>
    </w:tbl>
    <w:p w:rsidR="004F6C1C" w:rsidRPr="00E662C0" w:rsidRDefault="004F6C1C" w:rsidP="00203F09">
      <w:pPr>
        <w:pStyle w:val="BodyText"/>
        <w:rPr>
          <w:i/>
          <w:sz w:val="24"/>
          <w:szCs w:val="24"/>
        </w:rPr>
      </w:pPr>
      <w:r w:rsidRPr="00E662C0">
        <w:rPr>
          <w:i/>
          <w:sz w:val="24"/>
          <w:szCs w:val="24"/>
        </w:rPr>
        <w:t>The Buttons are:</w:t>
      </w:r>
    </w:p>
    <w:tbl>
      <w:tblPr>
        <w:tblW w:w="9214" w:type="dxa"/>
        <w:tblLayout w:type="fixed"/>
        <w:tblCellMar>
          <w:left w:w="142" w:type="dxa"/>
          <w:right w:w="142" w:type="dxa"/>
        </w:tblCellMar>
        <w:tblLook w:val="0000" w:firstRow="0" w:lastRow="0" w:firstColumn="0" w:lastColumn="0" w:noHBand="0" w:noVBand="0"/>
      </w:tblPr>
      <w:tblGrid>
        <w:gridCol w:w="2268"/>
        <w:gridCol w:w="6946"/>
      </w:tblGrid>
      <w:tr w:rsidR="004F6C1C" w:rsidRPr="00095665" w:rsidTr="003C73D2">
        <w:tc>
          <w:tcPr>
            <w:tcW w:w="2268" w:type="dxa"/>
          </w:tcPr>
          <w:p w:rsidR="004F6C1C" w:rsidRDefault="004F6C1C" w:rsidP="003C73D2">
            <w:pPr>
              <w:pStyle w:val="Subheading"/>
            </w:pPr>
            <w:r>
              <w:t>Filters</w:t>
            </w:r>
          </w:p>
        </w:tc>
        <w:tc>
          <w:tcPr>
            <w:tcW w:w="6946" w:type="dxa"/>
          </w:tcPr>
          <w:p w:rsidR="004F6C1C" w:rsidRPr="00095665" w:rsidRDefault="004F6C1C" w:rsidP="003C73D2">
            <w:pPr>
              <w:pStyle w:val="BodyText"/>
            </w:pPr>
            <w:r>
              <w:t xml:space="preserve">Allows you to select which type of groups to list in the main window. </w:t>
            </w:r>
          </w:p>
        </w:tc>
      </w:tr>
    </w:tbl>
    <w:p w:rsidR="004F6C1C" w:rsidRDefault="004F6C1C" w:rsidP="00203F09">
      <w:pPr>
        <w:pStyle w:val="BodyText"/>
        <w:rPr>
          <w:i/>
        </w:rPr>
      </w:pPr>
    </w:p>
    <w:p w:rsidR="003D7E3D" w:rsidRDefault="004F6C1C" w:rsidP="003D7E3D">
      <w:pPr>
        <w:pStyle w:val="Heading3"/>
        <w:ind w:left="0"/>
      </w:pPr>
      <w:r>
        <w:lastRenderedPageBreak/>
        <w:t>Budget Filters</w:t>
      </w:r>
      <w:r w:rsidR="003D7E3D">
        <w:t xml:space="preserve"> Window</w:t>
      </w:r>
    </w:p>
    <w:p w:rsidR="003D7E3D" w:rsidRDefault="0031723F" w:rsidP="003D7E3D">
      <w:pPr>
        <w:pStyle w:val="BodyText"/>
        <w:rPr>
          <w:i/>
        </w:rPr>
      </w:pPr>
      <w:r>
        <w:rPr>
          <w:i/>
        </w:rPr>
        <w:t xml:space="preserve"> </w:t>
      </w:r>
      <w:r>
        <w:rPr>
          <w:noProof/>
        </w:rPr>
        <w:drawing>
          <wp:inline distT="0" distB="0" distL="0" distR="0" wp14:anchorId="4C57364A" wp14:editId="48CA90E5">
            <wp:extent cx="2514600" cy="2533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514600" cy="2533650"/>
                    </a:xfrm>
                    <a:prstGeom prst="rect">
                      <a:avLst/>
                    </a:prstGeom>
                  </pic:spPr>
                </pic:pic>
              </a:graphicData>
            </a:graphic>
          </wp:inline>
        </w:drawing>
      </w:r>
    </w:p>
    <w:tbl>
      <w:tblPr>
        <w:tblW w:w="9214" w:type="dxa"/>
        <w:tblLayout w:type="fixed"/>
        <w:tblCellMar>
          <w:left w:w="142" w:type="dxa"/>
          <w:right w:w="142" w:type="dxa"/>
        </w:tblCellMar>
        <w:tblLook w:val="0000" w:firstRow="0" w:lastRow="0" w:firstColumn="0" w:lastColumn="0" w:noHBand="0" w:noVBand="0"/>
      </w:tblPr>
      <w:tblGrid>
        <w:gridCol w:w="2268"/>
        <w:gridCol w:w="6946"/>
      </w:tblGrid>
      <w:tr w:rsidR="003D7E3D" w:rsidTr="006F2C7B">
        <w:tc>
          <w:tcPr>
            <w:tcW w:w="2268" w:type="dxa"/>
          </w:tcPr>
          <w:p w:rsidR="003D7E3D" w:rsidRDefault="003D7E3D" w:rsidP="006F2C7B">
            <w:pPr>
              <w:pStyle w:val="Subheading"/>
            </w:pPr>
          </w:p>
        </w:tc>
        <w:tc>
          <w:tcPr>
            <w:tcW w:w="6946" w:type="dxa"/>
          </w:tcPr>
          <w:p w:rsidR="003D7E3D" w:rsidRDefault="003D7E3D" w:rsidP="0031723F">
            <w:pPr>
              <w:pStyle w:val="BodyText"/>
            </w:pPr>
            <w:r>
              <w:t xml:space="preserve">This window appears when you </w:t>
            </w:r>
            <w:r w:rsidR="0031723F">
              <w:t>press</w:t>
            </w:r>
            <w:r>
              <w:t xml:space="preserve"> the </w:t>
            </w:r>
            <w:r w:rsidR="00A77C5D">
              <w:t xml:space="preserve">Filters </w:t>
            </w:r>
            <w:r w:rsidR="0031723F">
              <w:t>button.</w:t>
            </w:r>
          </w:p>
        </w:tc>
      </w:tr>
      <w:tr w:rsidR="003D7E3D" w:rsidTr="006F2C7B">
        <w:tc>
          <w:tcPr>
            <w:tcW w:w="2268" w:type="dxa"/>
          </w:tcPr>
          <w:p w:rsidR="003D7E3D" w:rsidRDefault="003D7E3D" w:rsidP="006F2C7B">
            <w:pPr>
              <w:pStyle w:val="Subheading"/>
            </w:pPr>
            <w:r>
              <w:t>Purpose</w:t>
            </w:r>
          </w:p>
        </w:tc>
        <w:tc>
          <w:tcPr>
            <w:tcW w:w="6946" w:type="dxa"/>
          </w:tcPr>
          <w:p w:rsidR="003D7E3D" w:rsidRPr="00424FF0" w:rsidRDefault="003D7E3D" w:rsidP="0031723F">
            <w:pPr>
              <w:pStyle w:val="BodyText"/>
            </w:pPr>
            <w:r w:rsidRPr="00424FF0">
              <w:t xml:space="preserve">This window </w:t>
            </w:r>
            <w:r w:rsidR="00A77C5D">
              <w:t xml:space="preserve">allows you to restrict which </w:t>
            </w:r>
            <w:proofErr w:type="gramStart"/>
            <w:r w:rsidR="00A77C5D">
              <w:t xml:space="preserve">type of groups </w:t>
            </w:r>
            <w:r w:rsidR="0031723F">
              <w:t>are</w:t>
            </w:r>
            <w:proofErr w:type="gramEnd"/>
            <w:r w:rsidR="0031723F">
              <w:t xml:space="preserve"> listed when maintaining budgets.</w:t>
            </w:r>
          </w:p>
        </w:tc>
      </w:tr>
    </w:tbl>
    <w:p w:rsidR="00DD586D" w:rsidRDefault="00DD586D" w:rsidP="00203F09">
      <w:pPr>
        <w:pStyle w:val="BodyText"/>
        <w:rPr>
          <w:i/>
        </w:rPr>
      </w:pPr>
    </w:p>
    <w:p w:rsidR="004C1479" w:rsidRDefault="004C1479">
      <w:pPr>
        <w:rPr>
          <w:rFonts w:ascii="Arial" w:hAnsi="Arial"/>
          <w:b/>
          <w:sz w:val="22"/>
        </w:rPr>
      </w:pPr>
      <w:bookmarkStart w:id="0" w:name="_GoBack"/>
      <w:bookmarkEnd w:id="0"/>
    </w:p>
    <w:sectPr w:rsidR="004C1479" w:rsidSect="00D10FF1">
      <w:footerReference w:type="default" r:id="rId15"/>
      <w:pgSz w:w="11907" w:h="16840" w:code="9"/>
      <w:pgMar w:top="851" w:right="850" w:bottom="340" w:left="964" w:header="720"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73C" w:rsidRDefault="00D4273C">
      <w:r>
        <w:separator/>
      </w:r>
    </w:p>
  </w:endnote>
  <w:endnote w:type="continuationSeparator" w:id="0">
    <w:p w:rsidR="00D4273C" w:rsidRDefault="00D42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Lucida Sans Unicode"/>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B63E18">
      <w:tc>
        <w:tcPr>
          <w:tcW w:w="2178" w:type="dxa"/>
        </w:tcPr>
        <w:p w:rsidR="00B63E18" w:rsidRDefault="00B63E18">
          <w:pPr>
            <w:pStyle w:val="Footer"/>
            <w:rPr>
              <w:rFonts w:ascii="Arial" w:hAnsi="Arial"/>
              <w:b/>
              <w:sz w:val="24"/>
            </w:rPr>
          </w:pPr>
          <w:r>
            <w:rPr>
              <w:rFonts w:ascii="Arial" w:hAnsi="Arial"/>
              <w:b/>
              <w:sz w:val="24"/>
            </w:rPr>
            <w:t>Author</w:t>
          </w:r>
        </w:p>
      </w:tc>
      <w:tc>
        <w:tcPr>
          <w:tcW w:w="8130" w:type="dxa"/>
          <w:gridSpan w:val="2"/>
          <w:vAlign w:val="center"/>
        </w:tcPr>
        <w:p w:rsidR="00B63E18" w:rsidRDefault="00B63E18">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467EB7">
            <w:rPr>
              <w:rFonts w:ascii="Arial" w:hAnsi="Arial"/>
              <w:noProof/>
              <w:sz w:val="18"/>
            </w:rPr>
            <w:t>DCP</w:t>
          </w:r>
          <w:r>
            <w:rPr>
              <w:rFonts w:ascii="Arial" w:hAnsi="Arial"/>
              <w:sz w:val="18"/>
            </w:rPr>
            <w:fldChar w:fldCharType="end"/>
          </w:r>
        </w:p>
      </w:tc>
    </w:tr>
    <w:tr w:rsidR="00B63E18">
      <w:tc>
        <w:tcPr>
          <w:tcW w:w="2178" w:type="dxa"/>
        </w:tcPr>
        <w:p w:rsidR="00B63E18" w:rsidRDefault="00B63E18">
          <w:pPr>
            <w:pStyle w:val="Footer"/>
            <w:rPr>
              <w:rFonts w:ascii="Arial" w:hAnsi="Arial"/>
              <w:b/>
              <w:sz w:val="24"/>
            </w:rPr>
          </w:pPr>
          <w:r>
            <w:rPr>
              <w:rFonts w:ascii="Arial" w:hAnsi="Arial"/>
              <w:b/>
              <w:sz w:val="24"/>
            </w:rPr>
            <w:t>Project</w:t>
          </w:r>
        </w:p>
      </w:tc>
      <w:tc>
        <w:tcPr>
          <w:tcW w:w="8130" w:type="dxa"/>
          <w:gridSpan w:val="2"/>
          <w:vAlign w:val="center"/>
        </w:tcPr>
        <w:p w:rsidR="00B63E18" w:rsidRDefault="00B63E18">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467EB7">
            <w:rPr>
              <w:rFonts w:ascii="Arial" w:hAnsi="Arial"/>
              <w:noProof/>
              <w:sz w:val="18"/>
            </w:rPr>
            <w:t>ZG60_000127.docx</w:t>
          </w:r>
          <w:r>
            <w:rPr>
              <w:rFonts w:ascii="Arial" w:hAnsi="Arial"/>
              <w:sz w:val="18"/>
            </w:rPr>
            <w:fldChar w:fldCharType="end"/>
          </w:r>
        </w:p>
      </w:tc>
    </w:tr>
    <w:tr w:rsidR="00B63E18">
      <w:trPr>
        <w:cantSplit/>
      </w:trPr>
      <w:tc>
        <w:tcPr>
          <w:tcW w:w="2178" w:type="dxa"/>
        </w:tcPr>
        <w:p w:rsidR="00B63E18" w:rsidRDefault="00B63E18">
          <w:pPr>
            <w:pStyle w:val="Footer"/>
            <w:rPr>
              <w:rFonts w:ascii="Arial" w:hAnsi="Arial"/>
              <w:b/>
              <w:sz w:val="24"/>
            </w:rPr>
          </w:pPr>
          <w:r>
            <w:rPr>
              <w:rFonts w:ascii="Arial" w:hAnsi="Arial"/>
              <w:b/>
              <w:sz w:val="24"/>
            </w:rPr>
            <w:t>Version</w:t>
          </w:r>
        </w:p>
      </w:tc>
      <w:tc>
        <w:tcPr>
          <w:tcW w:w="7200" w:type="dxa"/>
          <w:vAlign w:val="center"/>
        </w:tcPr>
        <w:p w:rsidR="00B63E18" w:rsidRDefault="00B63E18">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467EB7">
            <w:rPr>
              <w:rFonts w:ascii="Arial" w:hAnsi="Arial"/>
              <w:sz w:val="18"/>
            </w:rPr>
            <w:t>1.0</w:t>
          </w:r>
          <w:r>
            <w:rPr>
              <w:rFonts w:ascii="Arial" w:hAnsi="Arial"/>
              <w:sz w:val="18"/>
            </w:rPr>
            <w:fldChar w:fldCharType="end"/>
          </w:r>
        </w:p>
      </w:tc>
      <w:tc>
        <w:tcPr>
          <w:tcW w:w="930" w:type="dxa"/>
          <w:vAlign w:val="center"/>
        </w:tcPr>
        <w:sdt>
          <w:sdtPr>
            <w:rPr>
              <w:rFonts w:ascii="Arial" w:hAnsi="Arial" w:cs="Arial"/>
              <w:sz w:val="18"/>
              <w:szCs w:val="18"/>
            </w:rPr>
            <w:id w:val="860082579"/>
            <w:docPartObj>
              <w:docPartGallery w:val="Page Numbers (Top of Page)"/>
              <w:docPartUnique/>
            </w:docPartObj>
          </w:sdtPr>
          <w:sdtEndPr/>
          <w:sdtContent>
            <w:p w:rsidR="00B63E18" w:rsidRPr="00B656B9" w:rsidRDefault="00B656B9" w:rsidP="00B656B9">
              <w:pPr>
                <w:pStyle w:val="Footer"/>
                <w:jc w:val="right"/>
                <w:rPr>
                  <w:rFonts w:ascii="Arial" w:hAnsi="Arial" w:cs="Arial"/>
                  <w:sz w:val="18"/>
                  <w:szCs w:val="18"/>
                </w:rPr>
              </w:pPr>
              <w:r w:rsidRPr="00B656B9">
                <w:rPr>
                  <w:rFonts w:ascii="Arial" w:hAnsi="Arial" w:cs="Arial"/>
                  <w:sz w:val="18"/>
                  <w:szCs w:val="18"/>
                </w:rPr>
                <w:t xml:space="preserve"> </w:t>
              </w:r>
              <w:r w:rsidRPr="00B656B9">
                <w:rPr>
                  <w:rFonts w:ascii="Arial" w:hAnsi="Arial" w:cs="Arial"/>
                  <w:b/>
                  <w:bCs/>
                  <w:sz w:val="18"/>
                  <w:szCs w:val="18"/>
                </w:rPr>
                <w:fldChar w:fldCharType="begin"/>
              </w:r>
              <w:r w:rsidRPr="00B656B9">
                <w:rPr>
                  <w:rFonts w:ascii="Arial" w:hAnsi="Arial" w:cs="Arial"/>
                  <w:b/>
                  <w:bCs/>
                  <w:sz w:val="18"/>
                  <w:szCs w:val="18"/>
                </w:rPr>
                <w:instrText xml:space="preserve"> PAGE </w:instrText>
              </w:r>
              <w:r w:rsidRPr="00B656B9">
                <w:rPr>
                  <w:rFonts w:ascii="Arial" w:hAnsi="Arial" w:cs="Arial"/>
                  <w:b/>
                  <w:bCs/>
                  <w:sz w:val="18"/>
                  <w:szCs w:val="18"/>
                </w:rPr>
                <w:fldChar w:fldCharType="separate"/>
              </w:r>
              <w:r w:rsidR="00467EB7">
                <w:rPr>
                  <w:rFonts w:ascii="Arial" w:hAnsi="Arial" w:cs="Arial"/>
                  <w:b/>
                  <w:bCs/>
                  <w:noProof/>
                  <w:sz w:val="18"/>
                  <w:szCs w:val="18"/>
                </w:rPr>
                <w:t>7</w:t>
              </w:r>
              <w:r w:rsidRPr="00B656B9">
                <w:rPr>
                  <w:rFonts w:ascii="Arial" w:hAnsi="Arial" w:cs="Arial"/>
                  <w:b/>
                  <w:bCs/>
                  <w:sz w:val="18"/>
                  <w:szCs w:val="18"/>
                </w:rPr>
                <w:fldChar w:fldCharType="end"/>
              </w:r>
              <w:r w:rsidRPr="00B656B9">
                <w:rPr>
                  <w:rFonts w:ascii="Arial" w:hAnsi="Arial" w:cs="Arial"/>
                  <w:sz w:val="18"/>
                  <w:szCs w:val="18"/>
                </w:rPr>
                <w:t xml:space="preserve"> of </w:t>
              </w:r>
              <w:r w:rsidRPr="00B656B9">
                <w:rPr>
                  <w:rFonts w:ascii="Arial" w:hAnsi="Arial" w:cs="Arial"/>
                  <w:b/>
                  <w:bCs/>
                  <w:sz w:val="18"/>
                  <w:szCs w:val="18"/>
                </w:rPr>
                <w:fldChar w:fldCharType="begin"/>
              </w:r>
              <w:r w:rsidRPr="00B656B9">
                <w:rPr>
                  <w:rFonts w:ascii="Arial" w:hAnsi="Arial" w:cs="Arial"/>
                  <w:b/>
                  <w:bCs/>
                  <w:sz w:val="18"/>
                  <w:szCs w:val="18"/>
                </w:rPr>
                <w:instrText xml:space="preserve"> NUMPAGES  </w:instrText>
              </w:r>
              <w:r w:rsidRPr="00B656B9">
                <w:rPr>
                  <w:rFonts w:ascii="Arial" w:hAnsi="Arial" w:cs="Arial"/>
                  <w:b/>
                  <w:bCs/>
                  <w:sz w:val="18"/>
                  <w:szCs w:val="18"/>
                </w:rPr>
                <w:fldChar w:fldCharType="separate"/>
              </w:r>
              <w:r w:rsidR="00467EB7">
                <w:rPr>
                  <w:rFonts w:ascii="Arial" w:hAnsi="Arial" w:cs="Arial"/>
                  <w:b/>
                  <w:bCs/>
                  <w:noProof/>
                  <w:sz w:val="18"/>
                  <w:szCs w:val="18"/>
                </w:rPr>
                <w:t>7</w:t>
              </w:r>
              <w:r w:rsidRPr="00B656B9">
                <w:rPr>
                  <w:rFonts w:ascii="Arial" w:hAnsi="Arial" w:cs="Arial"/>
                  <w:b/>
                  <w:bCs/>
                  <w:sz w:val="18"/>
                  <w:szCs w:val="18"/>
                </w:rPr>
                <w:fldChar w:fldCharType="end"/>
              </w:r>
            </w:p>
          </w:sdtContent>
        </w:sdt>
      </w:tc>
    </w:tr>
  </w:tbl>
  <w:p w:rsidR="00B63E18" w:rsidRDefault="00B63E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73C" w:rsidRDefault="00D4273C">
      <w:r>
        <w:separator/>
      </w:r>
    </w:p>
  </w:footnote>
  <w:footnote w:type="continuationSeparator" w:id="0">
    <w:p w:rsidR="00D4273C" w:rsidRDefault="00D427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2">
    <w:nsid w:val="17CA60E5"/>
    <w:multiLevelType w:val="hybridMultilevel"/>
    <w:tmpl w:val="C94CFA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F00765C"/>
    <w:multiLevelType w:val="hybridMultilevel"/>
    <w:tmpl w:val="EE0CF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5">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6">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7">
    <w:nsid w:val="603F2167"/>
    <w:multiLevelType w:val="hybridMultilevel"/>
    <w:tmpl w:val="3E0A7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7C4D5772"/>
    <w:multiLevelType w:val="hybridMultilevel"/>
    <w:tmpl w:val="12F81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4"/>
  </w:num>
  <w:num w:numId="4">
    <w:abstractNumId w:val="5"/>
  </w:num>
  <w:num w:numId="5">
    <w:abstractNumId w:val="0"/>
  </w:num>
  <w:num w:numId="6">
    <w:abstractNumId w:val="6"/>
  </w:num>
  <w:num w:numId="7">
    <w:abstractNumId w:val="7"/>
  </w:num>
  <w:num w:numId="8">
    <w:abstractNumId w:val="9"/>
  </w:num>
  <w:num w:numId="9">
    <w:abstractNumId w:val="3"/>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EAA"/>
    <w:rsid w:val="000068B9"/>
    <w:rsid w:val="000109A8"/>
    <w:rsid w:val="0001377E"/>
    <w:rsid w:val="000162AB"/>
    <w:rsid w:val="00021D8B"/>
    <w:rsid w:val="000231C8"/>
    <w:rsid w:val="00023FC7"/>
    <w:rsid w:val="00030CD5"/>
    <w:rsid w:val="000330B0"/>
    <w:rsid w:val="0003379F"/>
    <w:rsid w:val="00036C80"/>
    <w:rsid w:val="00044EB7"/>
    <w:rsid w:val="000453DD"/>
    <w:rsid w:val="00062406"/>
    <w:rsid w:val="000627C8"/>
    <w:rsid w:val="00067B8E"/>
    <w:rsid w:val="00071067"/>
    <w:rsid w:val="000754B8"/>
    <w:rsid w:val="00077F0C"/>
    <w:rsid w:val="00081B90"/>
    <w:rsid w:val="00096190"/>
    <w:rsid w:val="000A636F"/>
    <w:rsid w:val="000B1574"/>
    <w:rsid w:val="000B285E"/>
    <w:rsid w:val="000B3A81"/>
    <w:rsid w:val="000B69BC"/>
    <w:rsid w:val="000C07A7"/>
    <w:rsid w:val="000C4894"/>
    <w:rsid w:val="000D1EF0"/>
    <w:rsid w:val="000D5156"/>
    <w:rsid w:val="000D5D5F"/>
    <w:rsid w:val="000D6080"/>
    <w:rsid w:val="000D60FA"/>
    <w:rsid w:val="000D668B"/>
    <w:rsid w:val="000E175D"/>
    <w:rsid w:val="000E3A57"/>
    <w:rsid w:val="000F1DA2"/>
    <w:rsid w:val="000F73B3"/>
    <w:rsid w:val="0010221A"/>
    <w:rsid w:val="00104622"/>
    <w:rsid w:val="0010545F"/>
    <w:rsid w:val="00110A9F"/>
    <w:rsid w:val="00113714"/>
    <w:rsid w:val="00120C2A"/>
    <w:rsid w:val="00120CA0"/>
    <w:rsid w:val="001249EC"/>
    <w:rsid w:val="00130380"/>
    <w:rsid w:val="00135D27"/>
    <w:rsid w:val="001364DC"/>
    <w:rsid w:val="00144815"/>
    <w:rsid w:val="0014789A"/>
    <w:rsid w:val="0015025F"/>
    <w:rsid w:val="00150861"/>
    <w:rsid w:val="0015112A"/>
    <w:rsid w:val="001637D5"/>
    <w:rsid w:val="00165525"/>
    <w:rsid w:val="001700BC"/>
    <w:rsid w:val="001848C5"/>
    <w:rsid w:val="00186445"/>
    <w:rsid w:val="001864EE"/>
    <w:rsid w:val="00190C77"/>
    <w:rsid w:val="00193FBD"/>
    <w:rsid w:val="001A2BD7"/>
    <w:rsid w:val="001B2366"/>
    <w:rsid w:val="001B26F5"/>
    <w:rsid w:val="001B49BE"/>
    <w:rsid w:val="001B5BA7"/>
    <w:rsid w:val="001B6AAC"/>
    <w:rsid w:val="001C18EC"/>
    <w:rsid w:val="001C73CC"/>
    <w:rsid w:val="001D32E5"/>
    <w:rsid w:val="001E107E"/>
    <w:rsid w:val="001E3747"/>
    <w:rsid w:val="001F55CF"/>
    <w:rsid w:val="00201F1C"/>
    <w:rsid w:val="00202186"/>
    <w:rsid w:val="00203F09"/>
    <w:rsid w:val="0021010F"/>
    <w:rsid w:val="002138D9"/>
    <w:rsid w:val="0021454B"/>
    <w:rsid w:val="00220E25"/>
    <w:rsid w:val="002316D7"/>
    <w:rsid w:val="00231D5D"/>
    <w:rsid w:val="0024125F"/>
    <w:rsid w:val="00245859"/>
    <w:rsid w:val="00247BED"/>
    <w:rsid w:val="00250EF2"/>
    <w:rsid w:val="002540BB"/>
    <w:rsid w:val="00257B77"/>
    <w:rsid w:val="00260E3E"/>
    <w:rsid w:val="00264476"/>
    <w:rsid w:val="00266659"/>
    <w:rsid w:val="00270E3C"/>
    <w:rsid w:val="00271C85"/>
    <w:rsid w:val="0028193E"/>
    <w:rsid w:val="00282DC4"/>
    <w:rsid w:val="0028566F"/>
    <w:rsid w:val="00287665"/>
    <w:rsid w:val="00292BAD"/>
    <w:rsid w:val="00293163"/>
    <w:rsid w:val="00296146"/>
    <w:rsid w:val="00297982"/>
    <w:rsid w:val="00297C01"/>
    <w:rsid w:val="002A189C"/>
    <w:rsid w:val="002B547C"/>
    <w:rsid w:val="002B5C9F"/>
    <w:rsid w:val="002B77AA"/>
    <w:rsid w:val="002C11B8"/>
    <w:rsid w:val="002C4368"/>
    <w:rsid w:val="002C5688"/>
    <w:rsid w:val="002E16A3"/>
    <w:rsid w:val="002E4E3C"/>
    <w:rsid w:val="002F035F"/>
    <w:rsid w:val="002F1DAF"/>
    <w:rsid w:val="002F3973"/>
    <w:rsid w:val="002F448F"/>
    <w:rsid w:val="002F5085"/>
    <w:rsid w:val="002F7E04"/>
    <w:rsid w:val="0030154E"/>
    <w:rsid w:val="003020DE"/>
    <w:rsid w:val="00302DC2"/>
    <w:rsid w:val="003038A3"/>
    <w:rsid w:val="0031343C"/>
    <w:rsid w:val="0031723F"/>
    <w:rsid w:val="0032528B"/>
    <w:rsid w:val="003258FD"/>
    <w:rsid w:val="0033019E"/>
    <w:rsid w:val="00332D5F"/>
    <w:rsid w:val="003334A5"/>
    <w:rsid w:val="00340EC0"/>
    <w:rsid w:val="00344EE8"/>
    <w:rsid w:val="003511C0"/>
    <w:rsid w:val="003526BB"/>
    <w:rsid w:val="0035467B"/>
    <w:rsid w:val="00362FD2"/>
    <w:rsid w:val="00370D95"/>
    <w:rsid w:val="00371E83"/>
    <w:rsid w:val="00373564"/>
    <w:rsid w:val="0038097B"/>
    <w:rsid w:val="00381652"/>
    <w:rsid w:val="0039291E"/>
    <w:rsid w:val="00392CB4"/>
    <w:rsid w:val="00393F49"/>
    <w:rsid w:val="00396E00"/>
    <w:rsid w:val="003C35AD"/>
    <w:rsid w:val="003C4B41"/>
    <w:rsid w:val="003C4B9A"/>
    <w:rsid w:val="003C6805"/>
    <w:rsid w:val="003C6FAE"/>
    <w:rsid w:val="003D2EA5"/>
    <w:rsid w:val="003D3DE5"/>
    <w:rsid w:val="003D45BD"/>
    <w:rsid w:val="003D7E3D"/>
    <w:rsid w:val="003D7EBA"/>
    <w:rsid w:val="003E1906"/>
    <w:rsid w:val="003E42A1"/>
    <w:rsid w:val="003F2B87"/>
    <w:rsid w:val="003F559A"/>
    <w:rsid w:val="003F6A0F"/>
    <w:rsid w:val="0040285F"/>
    <w:rsid w:val="00406DAD"/>
    <w:rsid w:val="004134AD"/>
    <w:rsid w:val="00416694"/>
    <w:rsid w:val="0043088F"/>
    <w:rsid w:val="004335C2"/>
    <w:rsid w:val="00435BD9"/>
    <w:rsid w:val="004420D7"/>
    <w:rsid w:val="00446FBF"/>
    <w:rsid w:val="004503B6"/>
    <w:rsid w:val="004528B3"/>
    <w:rsid w:val="004557D4"/>
    <w:rsid w:val="00456C00"/>
    <w:rsid w:val="00463F36"/>
    <w:rsid w:val="00467EB7"/>
    <w:rsid w:val="004725CA"/>
    <w:rsid w:val="004978F6"/>
    <w:rsid w:val="00497A8C"/>
    <w:rsid w:val="004A503A"/>
    <w:rsid w:val="004A6E72"/>
    <w:rsid w:val="004B4A42"/>
    <w:rsid w:val="004C0986"/>
    <w:rsid w:val="004C1479"/>
    <w:rsid w:val="004C508E"/>
    <w:rsid w:val="004E489D"/>
    <w:rsid w:val="004F4331"/>
    <w:rsid w:val="004F6C1C"/>
    <w:rsid w:val="004F7AB8"/>
    <w:rsid w:val="00500FF4"/>
    <w:rsid w:val="005013F2"/>
    <w:rsid w:val="00502836"/>
    <w:rsid w:val="00504CC2"/>
    <w:rsid w:val="00505D98"/>
    <w:rsid w:val="00511FC6"/>
    <w:rsid w:val="00512487"/>
    <w:rsid w:val="00515BF5"/>
    <w:rsid w:val="00516B6B"/>
    <w:rsid w:val="0052255E"/>
    <w:rsid w:val="00552BED"/>
    <w:rsid w:val="00555369"/>
    <w:rsid w:val="00556FE5"/>
    <w:rsid w:val="005604AF"/>
    <w:rsid w:val="005641C6"/>
    <w:rsid w:val="00565991"/>
    <w:rsid w:val="00576EE9"/>
    <w:rsid w:val="00581CF4"/>
    <w:rsid w:val="00583C0F"/>
    <w:rsid w:val="00585802"/>
    <w:rsid w:val="00590045"/>
    <w:rsid w:val="005917EB"/>
    <w:rsid w:val="00594EA3"/>
    <w:rsid w:val="005957CA"/>
    <w:rsid w:val="005A06DA"/>
    <w:rsid w:val="005A0AAB"/>
    <w:rsid w:val="005A5E6F"/>
    <w:rsid w:val="005B2774"/>
    <w:rsid w:val="005B79C6"/>
    <w:rsid w:val="005B7D77"/>
    <w:rsid w:val="005C0734"/>
    <w:rsid w:val="005D034F"/>
    <w:rsid w:val="005E0BF1"/>
    <w:rsid w:val="005E4DFF"/>
    <w:rsid w:val="005E5511"/>
    <w:rsid w:val="005E7F8D"/>
    <w:rsid w:val="005F47FF"/>
    <w:rsid w:val="005F574C"/>
    <w:rsid w:val="00607919"/>
    <w:rsid w:val="00610734"/>
    <w:rsid w:val="00611CEC"/>
    <w:rsid w:val="006220FA"/>
    <w:rsid w:val="00636BA6"/>
    <w:rsid w:val="00647263"/>
    <w:rsid w:val="00650395"/>
    <w:rsid w:val="00657318"/>
    <w:rsid w:val="00660685"/>
    <w:rsid w:val="00666550"/>
    <w:rsid w:val="006810CB"/>
    <w:rsid w:val="00681336"/>
    <w:rsid w:val="00681A17"/>
    <w:rsid w:val="00685A71"/>
    <w:rsid w:val="006861A7"/>
    <w:rsid w:val="00690052"/>
    <w:rsid w:val="00690F92"/>
    <w:rsid w:val="00693945"/>
    <w:rsid w:val="006A0978"/>
    <w:rsid w:val="006A15E9"/>
    <w:rsid w:val="006A2B04"/>
    <w:rsid w:val="006A428F"/>
    <w:rsid w:val="006B3282"/>
    <w:rsid w:val="006B4934"/>
    <w:rsid w:val="006C6EAD"/>
    <w:rsid w:val="006C7979"/>
    <w:rsid w:val="006D139A"/>
    <w:rsid w:val="006D1C45"/>
    <w:rsid w:val="006D33E3"/>
    <w:rsid w:val="006E1CF4"/>
    <w:rsid w:val="006E322B"/>
    <w:rsid w:val="006E7113"/>
    <w:rsid w:val="00700081"/>
    <w:rsid w:val="0070028E"/>
    <w:rsid w:val="0070318E"/>
    <w:rsid w:val="00704DCD"/>
    <w:rsid w:val="0070512F"/>
    <w:rsid w:val="0070720F"/>
    <w:rsid w:val="00707C1A"/>
    <w:rsid w:val="00730C63"/>
    <w:rsid w:val="00731DE8"/>
    <w:rsid w:val="00731F5F"/>
    <w:rsid w:val="007344A6"/>
    <w:rsid w:val="007405A3"/>
    <w:rsid w:val="00741B66"/>
    <w:rsid w:val="00745AAF"/>
    <w:rsid w:val="0075007C"/>
    <w:rsid w:val="00750955"/>
    <w:rsid w:val="00750C69"/>
    <w:rsid w:val="00751C3A"/>
    <w:rsid w:val="00755451"/>
    <w:rsid w:val="00755B63"/>
    <w:rsid w:val="007563A9"/>
    <w:rsid w:val="00774199"/>
    <w:rsid w:val="0078161A"/>
    <w:rsid w:val="00786750"/>
    <w:rsid w:val="007912BE"/>
    <w:rsid w:val="00793371"/>
    <w:rsid w:val="00795C96"/>
    <w:rsid w:val="007A0100"/>
    <w:rsid w:val="007A2F64"/>
    <w:rsid w:val="007A42C7"/>
    <w:rsid w:val="007A50D4"/>
    <w:rsid w:val="007B06E0"/>
    <w:rsid w:val="007B62A8"/>
    <w:rsid w:val="007B6880"/>
    <w:rsid w:val="007B768B"/>
    <w:rsid w:val="007B7BCB"/>
    <w:rsid w:val="007C1156"/>
    <w:rsid w:val="007C5B31"/>
    <w:rsid w:val="007D3F96"/>
    <w:rsid w:val="007E2C1B"/>
    <w:rsid w:val="007E2C76"/>
    <w:rsid w:val="007E3E90"/>
    <w:rsid w:val="007E6020"/>
    <w:rsid w:val="007E645C"/>
    <w:rsid w:val="007F3E74"/>
    <w:rsid w:val="007F3EF1"/>
    <w:rsid w:val="007F7C9B"/>
    <w:rsid w:val="00800477"/>
    <w:rsid w:val="00806AB1"/>
    <w:rsid w:val="008227B1"/>
    <w:rsid w:val="0082596A"/>
    <w:rsid w:val="008259F0"/>
    <w:rsid w:val="00833624"/>
    <w:rsid w:val="00837E0D"/>
    <w:rsid w:val="008507AD"/>
    <w:rsid w:val="0085093E"/>
    <w:rsid w:val="0085701B"/>
    <w:rsid w:val="0086354C"/>
    <w:rsid w:val="0086520D"/>
    <w:rsid w:val="008677DD"/>
    <w:rsid w:val="008706ED"/>
    <w:rsid w:val="008758B4"/>
    <w:rsid w:val="00877116"/>
    <w:rsid w:val="00880C15"/>
    <w:rsid w:val="00881762"/>
    <w:rsid w:val="00881E0F"/>
    <w:rsid w:val="008824F8"/>
    <w:rsid w:val="00883E73"/>
    <w:rsid w:val="00892EE4"/>
    <w:rsid w:val="008A23D2"/>
    <w:rsid w:val="008A2BD8"/>
    <w:rsid w:val="008B35C6"/>
    <w:rsid w:val="008C1526"/>
    <w:rsid w:val="008C4355"/>
    <w:rsid w:val="008C551D"/>
    <w:rsid w:val="008D2ECD"/>
    <w:rsid w:val="008E46E3"/>
    <w:rsid w:val="008E7B3D"/>
    <w:rsid w:val="008F7D44"/>
    <w:rsid w:val="009163BC"/>
    <w:rsid w:val="00922613"/>
    <w:rsid w:val="00937B8A"/>
    <w:rsid w:val="00942575"/>
    <w:rsid w:val="009439D5"/>
    <w:rsid w:val="00957696"/>
    <w:rsid w:val="00960E1B"/>
    <w:rsid w:val="00961181"/>
    <w:rsid w:val="0096306F"/>
    <w:rsid w:val="00963C86"/>
    <w:rsid w:val="00973D90"/>
    <w:rsid w:val="00976F21"/>
    <w:rsid w:val="009773B1"/>
    <w:rsid w:val="00977E8F"/>
    <w:rsid w:val="009844DF"/>
    <w:rsid w:val="009855D5"/>
    <w:rsid w:val="009858B6"/>
    <w:rsid w:val="009A5966"/>
    <w:rsid w:val="009A6621"/>
    <w:rsid w:val="009B03FD"/>
    <w:rsid w:val="009B2B56"/>
    <w:rsid w:val="009C12BB"/>
    <w:rsid w:val="009D1B12"/>
    <w:rsid w:val="009D393E"/>
    <w:rsid w:val="009D5452"/>
    <w:rsid w:val="009D6312"/>
    <w:rsid w:val="009E528A"/>
    <w:rsid w:val="009E5BA9"/>
    <w:rsid w:val="009F0FEB"/>
    <w:rsid w:val="009F112F"/>
    <w:rsid w:val="009F30AA"/>
    <w:rsid w:val="009F52F6"/>
    <w:rsid w:val="00A0142D"/>
    <w:rsid w:val="00A04635"/>
    <w:rsid w:val="00A0753E"/>
    <w:rsid w:val="00A07B36"/>
    <w:rsid w:val="00A1387D"/>
    <w:rsid w:val="00A23B07"/>
    <w:rsid w:val="00A27749"/>
    <w:rsid w:val="00A30C44"/>
    <w:rsid w:val="00A4278A"/>
    <w:rsid w:val="00A4293B"/>
    <w:rsid w:val="00A50D75"/>
    <w:rsid w:val="00A64D2D"/>
    <w:rsid w:val="00A652B5"/>
    <w:rsid w:val="00A65952"/>
    <w:rsid w:val="00A77C5D"/>
    <w:rsid w:val="00A8018E"/>
    <w:rsid w:val="00A839DE"/>
    <w:rsid w:val="00A9775B"/>
    <w:rsid w:val="00AA07EB"/>
    <w:rsid w:val="00AB3BC2"/>
    <w:rsid w:val="00AC0CB8"/>
    <w:rsid w:val="00AC33C6"/>
    <w:rsid w:val="00AC5414"/>
    <w:rsid w:val="00AC561D"/>
    <w:rsid w:val="00AD208E"/>
    <w:rsid w:val="00AD30F5"/>
    <w:rsid w:val="00AD5A0D"/>
    <w:rsid w:val="00AD7DB4"/>
    <w:rsid w:val="00AF03D8"/>
    <w:rsid w:val="00AF6F21"/>
    <w:rsid w:val="00B00037"/>
    <w:rsid w:val="00B03A56"/>
    <w:rsid w:val="00B06059"/>
    <w:rsid w:val="00B14304"/>
    <w:rsid w:val="00B17767"/>
    <w:rsid w:val="00B21C69"/>
    <w:rsid w:val="00B24263"/>
    <w:rsid w:val="00B30D36"/>
    <w:rsid w:val="00B3648E"/>
    <w:rsid w:val="00B3693F"/>
    <w:rsid w:val="00B45DC6"/>
    <w:rsid w:val="00B55358"/>
    <w:rsid w:val="00B554D1"/>
    <w:rsid w:val="00B57C34"/>
    <w:rsid w:val="00B63E18"/>
    <w:rsid w:val="00B64195"/>
    <w:rsid w:val="00B64BC0"/>
    <w:rsid w:val="00B656B9"/>
    <w:rsid w:val="00B65A22"/>
    <w:rsid w:val="00B66207"/>
    <w:rsid w:val="00B72884"/>
    <w:rsid w:val="00B76D55"/>
    <w:rsid w:val="00B83C9B"/>
    <w:rsid w:val="00B86447"/>
    <w:rsid w:val="00B93EC1"/>
    <w:rsid w:val="00B9753F"/>
    <w:rsid w:val="00BA16AC"/>
    <w:rsid w:val="00BA1907"/>
    <w:rsid w:val="00BB3231"/>
    <w:rsid w:val="00BB356B"/>
    <w:rsid w:val="00BC33DB"/>
    <w:rsid w:val="00BC3AAC"/>
    <w:rsid w:val="00BC4D0E"/>
    <w:rsid w:val="00BD4B02"/>
    <w:rsid w:val="00BD4BFA"/>
    <w:rsid w:val="00BD4EC8"/>
    <w:rsid w:val="00BE4E15"/>
    <w:rsid w:val="00BE571A"/>
    <w:rsid w:val="00BE5BD2"/>
    <w:rsid w:val="00BE6D19"/>
    <w:rsid w:val="00BF7AFE"/>
    <w:rsid w:val="00C03730"/>
    <w:rsid w:val="00C065BC"/>
    <w:rsid w:val="00C16071"/>
    <w:rsid w:val="00C22171"/>
    <w:rsid w:val="00C37BFE"/>
    <w:rsid w:val="00C40AAA"/>
    <w:rsid w:val="00C44F57"/>
    <w:rsid w:val="00C45198"/>
    <w:rsid w:val="00C45F53"/>
    <w:rsid w:val="00C47C81"/>
    <w:rsid w:val="00C6589D"/>
    <w:rsid w:val="00C67A1B"/>
    <w:rsid w:val="00C67CC9"/>
    <w:rsid w:val="00C7782C"/>
    <w:rsid w:val="00C81E85"/>
    <w:rsid w:val="00C82760"/>
    <w:rsid w:val="00C828A6"/>
    <w:rsid w:val="00C838B8"/>
    <w:rsid w:val="00C85F09"/>
    <w:rsid w:val="00C937B6"/>
    <w:rsid w:val="00C94420"/>
    <w:rsid w:val="00C9703C"/>
    <w:rsid w:val="00C97BB5"/>
    <w:rsid w:val="00CA25DD"/>
    <w:rsid w:val="00CA6031"/>
    <w:rsid w:val="00CA6535"/>
    <w:rsid w:val="00CB640F"/>
    <w:rsid w:val="00CC7B13"/>
    <w:rsid w:val="00CD0F72"/>
    <w:rsid w:val="00CD729E"/>
    <w:rsid w:val="00CD7CC0"/>
    <w:rsid w:val="00CE2202"/>
    <w:rsid w:val="00CE38C7"/>
    <w:rsid w:val="00CE48A7"/>
    <w:rsid w:val="00CF58E0"/>
    <w:rsid w:val="00CF5A61"/>
    <w:rsid w:val="00D0356F"/>
    <w:rsid w:val="00D05283"/>
    <w:rsid w:val="00D05FBC"/>
    <w:rsid w:val="00D10FF1"/>
    <w:rsid w:val="00D143AB"/>
    <w:rsid w:val="00D15D1F"/>
    <w:rsid w:val="00D15E6C"/>
    <w:rsid w:val="00D1763E"/>
    <w:rsid w:val="00D2092A"/>
    <w:rsid w:val="00D23900"/>
    <w:rsid w:val="00D30657"/>
    <w:rsid w:val="00D4273C"/>
    <w:rsid w:val="00D53089"/>
    <w:rsid w:val="00D545BE"/>
    <w:rsid w:val="00D565F8"/>
    <w:rsid w:val="00D641BD"/>
    <w:rsid w:val="00D65403"/>
    <w:rsid w:val="00D7277E"/>
    <w:rsid w:val="00D743FB"/>
    <w:rsid w:val="00D81144"/>
    <w:rsid w:val="00D8740C"/>
    <w:rsid w:val="00D90EAA"/>
    <w:rsid w:val="00D95323"/>
    <w:rsid w:val="00D95D37"/>
    <w:rsid w:val="00DA2F2E"/>
    <w:rsid w:val="00DA2FD0"/>
    <w:rsid w:val="00DB02F7"/>
    <w:rsid w:val="00DB63F3"/>
    <w:rsid w:val="00DC38B4"/>
    <w:rsid w:val="00DC3979"/>
    <w:rsid w:val="00DC3B5E"/>
    <w:rsid w:val="00DC4014"/>
    <w:rsid w:val="00DD0D27"/>
    <w:rsid w:val="00DD243B"/>
    <w:rsid w:val="00DD45D0"/>
    <w:rsid w:val="00DD5846"/>
    <w:rsid w:val="00DD586D"/>
    <w:rsid w:val="00DD5E91"/>
    <w:rsid w:val="00DE0EFC"/>
    <w:rsid w:val="00DE25A1"/>
    <w:rsid w:val="00DE2ED0"/>
    <w:rsid w:val="00DE65B0"/>
    <w:rsid w:val="00DE7FFD"/>
    <w:rsid w:val="00DF1797"/>
    <w:rsid w:val="00DF5993"/>
    <w:rsid w:val="00DF6589"/>
    <w:rsid w:val="00DF6988"/>
    <w:rsid w:val="00E00846"/>
    <w:rsid w:val="00E00FC3"/>
    <w:rsid w:val="00E024F7"/>
    <w:rsid w:val="00E064BC"/>
    <w:rsid w:val="00E077C6"/>
    <w:rsid w:val="00E12FA1"/>
    <w:rsid w:val="00E16DDA"/>
    <w:rsid w:val="00E21B57"/>
    <w:rsid w:val="00E2446A"/>
    <w:rsid w:val="00E24531"/>
    <w:rsid w:val="00E27522"/>
    <w:rsid w:val="00E31FCC"/>
    <w:rsid w:val="00E353BA"/>
    <w:rsid w:val="00E36A8C"/>
    <w:rsid w:val="00E4637D"/>
    <w:rsid w:val="00E51D16"/>
    <w:rsid w:val="00E57DB2"/>
    <w:rsid w:val="00E57F23"/>
    <w:rsid w:val="00E628A8"/>
    <w:rsid w:val="00E662C0"/>
    <w:rsid w:val="00E70A92"/>
    <w:rsid w:val="00E70D97"/>
    <w:rsid w:val="00E72CB1"/>
    <w:rsid w:val="00E80578"/>
    <w:rsid w:val="00E816E4"/>
    <w:rsid w:val="00E83133"/>
    <w:rsid w:val="00E842B7"/>
    <w:rsid w:val="00E968FC"/>
    <w:rsid w:val="00EA3FC9"/>
    <w:rsid w:val="00EA4CC8"/>
    <w:rsid w:val="00EA4CE9"/>
    <w:rsid w:val="00EA738B"/>
    <w:rsid w:val="00EB00E4"/>
    <w:rsid w:val="00EB0CB0"/>
    <w:rsid w:val="00EB3216"/>
    <w:rsid w:val="00EB3C60"/>
    <w:rsid w:val="00EB3C78"/>
    <w:rsid w:val="00EB6A01"/>
    <w:rsid w:val="00EB7941"/>
    <w:rsid w:val="00EC1B47"/>
    <w:rsid w:val="00EC4435"/>
    <w:rsid w:val="00EC4A7D"/>
    <w:rsid w:val="00EC606F"/>
    <w:rsid w:val="00ED6B22"/>
    <w:rsid w:val="00EE438B"/>
    <w:rsid w:val="00EE69BE"/>
    <w:rsid w:val="00EF7D27"/>
    <w:rsid w:val="00F0077F"/>
    <w:rsid w:val="00F0609D"/>
    <w:rsid w:val="00F078A4"/>
    <w:rsid w:val="00F15A78"/>
    <w:rsid w:val="00F336DA"/>
    <w:rsid w:val="00F33772"/>
    <w:rsid w:val="00F34303"/>
    <w:rsid w:val="00F350A6"/>
    <w:rsid w:val="00F35ABB"/>
    <w:rsid w:val="00F37F09"/>
    <w:rsid w:val="00F40CEA"/>
    <w:rsid w:val="00F47406"/>
    <w:rsid w:val="00F54207"/>
    <w:rsid w:val="00F55852"/>
    <w:rsid w:val="00F602A5"/>
    <w:rsid w:val="00F602B4"/>
    <w:rsid w:val="00F63066"/>
    <w:rsid w:val="00F631FA"/>
    <w:rsid w:val="00F649AA"/>
    <w:rsid w:val="00F64F02"/>
    <w:rsid w:val="00F65069"/>
    <w:rsid w:val="00F70EDD"/>
    <w:rsid w:val="00F85A6D"/>
    <w:rsid w:val="00F86C3E"/>
    <w:rsid w:val="00F92C89"/>
    <w:rsid w:val="00F97CA1"/>
    <w:rsid w:val="00FA653A"/>
    <w:rsid w:val="00FB5A8E"/>
    <w:rsid w:val="00FC2B70"/>
    <w:rsid w:val="00FC52DE"/>
    <w:rsid w:val="00FC72A3"/>
    <w:rsid w:val="00FD1E58"/>
    <w:rsid w:val="00FD35E9"/>
    <w:rsid w:val="00FD3D00"/>
    <w:rsid w:val="00FE1910"/>
    <w:rsid w:val="00FE7F8A"/>
    <w:rsid w:val="00FF2520"/>
    <w:rsid w:val="00FF4F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basedOn w:val="DefaultParagraphFont"/>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customStyle="1" w:styleId="bullet-list-1">
    <w:name w:val="bullet-list-1"/>
    <w:basedOn w:val="Normal"/>
    <w:rsid w:val="0021454B"/>
    <w:pPr>
      <w:spacing w:before="100" w:beforeAutospacing="1" w:after="100" w:afterAutospacing="1"/>
    </w:pPr>
    <w:rPr>
      <w:sz w:val="24"/>
      <w:szCs w:val="24"/>
      <w:lang w:val="en-US" w:eastAsia="en-US"/>
    </w:rPr>
  </w:style>
  <w:style w:type="paragraph" w:customStyle="1" w:styleId="bullet-list">
    <w:name w:val="bullet-list"/>
    <w:basedOn w:val="Normal"/>
    <w:rsid w:val="0021454B"/>
    <w:pPr>
      <w:spacing w:before="100" w:beforeAutospacing="1" w:after="100" w:afterAutospacing="1"/>
    </w:pPr>
    <w:rPr>
      <w:sz w:val="24"/>
      <w:szCs w:val="24"/>
      <w:lang w:val="en-US" w:eastAsia="en-US"/>
    </w:rPr>
  </w:style>
  <w:style w:type="character" w:customStyle="1" w:styleId="BodyTextChar">
    <w:name w:val="Body Text Char"/>
    <w:basedOn w:val="DefaultParagraphFont"/>
    <w:link w:val="BodyText"/>
    <w:rsid w:val="009F112F"/>
    <w:rPr>
      <w:lang w:val="en-GB" w:eastAsia="en-GB" w:bidi="ar-SA"/>
    </w:rPr>
  </w:style>
  <w:style w:type="paragraph" w:styleId="BalloonText">
    <w:name w:val="Balloon Text"/>
    <w:basedOn w:val="Normal"/>
    <w:link w:val="BalloonTextChar"/>
    <w:rsid w:val="00DE2ED0"/>
    <w:rPr>
      <w:rFonts w:ascii="Tahoma" w:hAnsi="Tahoma" w:cs="Tahoma"/>
      <w:sz w:val="16"/>
      <w:szCs w:val="16"/>
    </w:rPr>
  </w:style>
  <w:style w:type="character" w:customStyle="1" w:styleId="BalloonTextChar">
    <w:name w:val="Balloon Text Char"/>
    <w:basedOn w:val="DefaultParagraphFont"/>
    <w:link w:val="BalloonText"/>
    <w:rsid w:val="00DE2ED0"/>
    <w:rPr>
      <w:rFonts w:ascii="Tahoma" w:hAnsi="Tahoma" w:cs="Tahoma"/>
      <w:sz w:val="16"/>
      <w:szCs w:val="16"/>
    </w:rPr>
  </w:style>
  <w:style w:type="character" w:customStyle="1" w:styleId="FooterChar">
    <w:name w:val="Footer Char"/>
    <w:basedOn w:val="DefaultParagraphFont"/>
    <w:link w:val="Footer"/>
    <w:uiPriority w:val="99"/>
    <w:rsid w:val="00B656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basedOn w:val="DefaultParagraphFont"/>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customStyle="1" w:styleId="bullet-list-1">
    <w:name w:val="bullet-list-1"/>
    <w:basedOn w:val="Normal"/>
    <w:rsid w:val="0021454B"/>
    <w:pPr>
      <w:spacing w:before="100" w:beforeAutospacing="1" w:after="100" w:afterAutospacing="1"/>
    </w:pPr>
    <w:rPr>
      <w:sz w:val="24"/>
      <w:szCs w:val="24"/>
      <w:lang w:val="en-US" w:eastAsia="en-US"/>
    </w:rPr>
  </w:style>
  <w:style w:type="paragraph" w:customStyle="1" w:styleId="bullet-list">
    <w:name w:val="bullet-list"/>
    <w:basedOn w:val="Normal"/>
    <w:rsid w:val="0021454B"/>
    <w:pPr>
      <w:spacing w:before="100" w:beforeAutospacing="1" w:after="100" w:afterAutospacing="1"/>
    </w:pPr>
    <w:rPr>
      <w:sz w:val="24"/>
      <w:szCs w:val="24"/>
      <w:lang w:val="en-US" w:eastAsia="en-US"/>
    </w:rPr>
  </w:style>
  <w:style w:type="character" w:customStyle="1" w:styleId="BodyTextChar">
    <w:name w:val="Body Text Char"/>
    <w:basedOn w:val="DefaultParagraphFont"/>
    <w:link w:val="BodyText"/>
    <w:rsid w:val="009F112F"/>
    <w:rPr>
      <w:lang w:val="en-GB" w:eastAsia="en-GB" w:bidi="ar-SA"/>
    </w:rPr>
  </w:style>
  <w:style w:type="paragraph" w:styleId="BalloonText">
    <w:name w:val="Balloon Text"/>
    <w:basedOn w:val="Normal"/>
    <w:link w:val="BalloonTextChar"/>
    <w:rsid w:val="00DE2ED0"/>
    <w:rPr>
      <w:rFonts w:ascii="Tahoma" w:hAnsi="Tahoma" w:cs="Tahoma"/>
      <w:sz w:val="16"/>
      <w:szCs w:val="16"/>
    </w:rPr>
  </w:style>
  <w:style w:type="character" w:customStyle="1" w:styleId="BalloonTextChar">
    <w:name w:val="Balloon Text Char"/>
    <w:basedOn w:val="DefaultParagraphFont"/>
    <w:link w:val="BalloonText"/>
    <w:rsid w:val="00DE2ED0"/>
    <w:rPr>
      <w:rFonts w:ascii="Tahoma" w:hAnsi="Tahoma" w:cs="Tahoma"/>
      <w:sz w:val="16"/>
      <w:szCs w:val="16"/>
    </w:rPr>
  </w:style>
  <w:style w:type="character" w:customStyle="1" w:styleId="FooterChar">
    <w:name w:val="Footer Char"/>
    <w:basedOn w:val="DefaultParagraphFont"/>
    <w:link w:val="Footer"/>
    <w:uiPriority w:val="99"/>
    <w:rsid w:val="00B65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788749">
      <w:bodyDiv w:val="1"/>
      <w:marLeft w:val="0"/>
      <w:marRight w:val="0"/>
      <w:marTop w:val="0"/>
      <w:marBottom w:val="0"/>
      <w:divBdr>
        <w:top w:val="none" w:sz="0" w:space="0" w:color="auto"/>
        <w:left w:val="none" w:sz="0" w:space="0" w:color="auto"/>
        <w:bottom w:val="none" w:sz="0" w:space="0" w:color="auto"/>
        <w:right w:val="none" w:sz="0" w:space="0" w:color="auto"/>
      </w:divBdr>
    </w:div>
    <w:div w:id="179597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k:@MSITStore:C:\GX\HELP\GL.chm::/GL120B__W1__.ht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C595E-117B-4C67-B942-0702F2809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40</TotalTime>
  <Pages>7</Pages>
  <Words>944</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6319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Update to General Ledger Budget Entry Dialogue</dc:subject>
  <dc:creator>DCP</dc:creator>
  <cp:keywords>1.0</cp:keywords>
  <dc:description>This service pack updates the dialogue used to maintain budgets.</dc:description>
  <cp:lastModifiedBy>Penfold, Dan</cp:lastModifiedBy>
  <cp:revision>12</cp:revision>
  <cp:lastPrinted>2002-03-05T14:24:00Z</cp:lastPrinted>
  <dcterms:created xsi:type="dcterms:W3CDTF">2013-07-30T14:31:00Z</dcterms:created>
  <dcterms:modified xsi:type="dcterms:W3CDTF">2013-07-30T15:11:00Z</dcterms:modified>
</cp:coreProperties>
</file>