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2B7" w:rsidRDefault="0024125F">
      <w:pPr>
        <w:pStyle w:val="Title"/>
      </w:pPr>
      <w: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0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42B7" w:rsidRDefault="00E842B7">
      <w:pPr>
        <w:pStyle w:val="Title"/>
      </w:pPr>
    </w:p>
    <w:p w:rsidR="00E842B7" w:rsidRDefault="00E842B7"/>
    <w:p w:rsidR="00E842B7" w:rsidRDefault="00E842B7"/>
    <w:p w:rsidR="00E842B7" w:rsidRDefault="00E842B7"/>
    <w:p w:rsidR="00E842B7" w:rsidRDefault="00E842B7">
      <w:pPr>
        <w:pStyle w:val="Title"/>
      </w:pPr>
      <w:r>
        <w:t>Global 3000</w:t>
      </w:r>
    </w:p>
    <w:p w:rsidR="00E842B7" w:rsidRDefault="00DF6988">
      <w:pPr>
        <w:pStyle w:val="Title"/>
      </w:pPr>
      <w:r>
        <w:t>Service Pack Note</w:t>
      </w:r>
    </w:p>
    <w:p w:rsidR="00E842B7" w:rsidRDefault="00E842B7"/>
    <w:p w:rsidR="00E842B7" w:rsidRDefault="00E842B7"/>
    <w:p w:rsidR="00E842B7" w:rsidRDefault="00DD6C7C">
      <w:pPr>
        <w:pStyle w:val="Title"/>
      </w:pPr>
      <w:r>
        <w:fldChar w:fldCharType="begin"/>
      </w:r>
      <w:r>
        <w:instrText xml:space="preserve"> SUBJECT  \* MERGEFORMAT </w:instrText>
      </w:r>
      <w:r>
        <w:fldChar w:fldCharType="separate"/>
      </w:r>
      <w:r w:rsidR="009F38AA">
        <w:t>Update to General Ledger Management Reports Dialogue</w:t>
      </w:r>
      <w:r>
        <w:fldChar w:fldCharType="end"/>
      </w:r>
    </w:p>
    <w:p w:rsidR="00E842B7" w:rsidRDefault="00E842B7"/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2B77AA" w:rsidRDefault="002B77AA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220E25" w:rsidRDefault="00220E25">
      <w:pPr>
        <w:rPr>
          <w:rFonts w:ascii="Arial" w:hAnsi="Arial"/>
          <w:b/>
          <w:sz w:val="22"/>
        </w:rPr>
      </w:pPr>
    </w:p>
    <w:p w:rsidR="00220E25" w:rsidRDefault="00220E25">
      <w:pPr>
        <w:rPr>
          <w:rFonts w:ascii="Arial" w:hAnsi="Arial"/>
          <w:b/>
          <w:sz w:val="22"/>
        </w:rPr>
      </w:pPr>
    </w:p>
    <w:p w:rsidR="00220E25" w:rsidRDefault="00220E25">
      <w:pPr>
        <w:rPr>
          <w:rFonts w:ascii="Arial" w:hAnsi="Arial"/>
          <w:b/>
          <w:sz w:val="22"/>
        </w:rPr>
      </w:pPr>
    </w:p>
    <w:p w:rsidR="00220E25" w:rsidRDefault="00220E25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lastRenderedPageBreak/>
        <w:t>INTRODUCTION</w:t>
      </w:r>
    </w:p>
    <w:p w:rsidR="00E842B7" w:rsidRDefault="00E842B7">
      <w:pPr>
        <w:tabs>
          <w:tab w:val="left" w:pos="3600"/>
        </w:tabs>
        <w:jc w:val="both"/>
        <w:rPr>
          <w:rFonts w:ascii="Arial" w:hAnsi="Arial"/>
          <w:b/>
          <w:sz w:val="22"/>
        </w:rPr>
      </w:pPr>
    </w:p>
    <w:p w:rsidR="00E842B7" w:rsidRDefault="00E842B7">
      <w:pPr>
        <w:tabs>
          <w:tab w:val="left" w:pos="3600"/>
        </w:tabs>
        <w:jc w:val="both"/>
        <w:rPr>
          <w:rFonts w:ascii="CG Omega" w:hAnsi="CG Omega"/>
          <w:sz w:val="24"/>
        </w:rPr>
      </w:pPr>
      <w:r>
        <w:rPr>
          <w:rFonts w:ascii="CG Omega" w:hAnsi="CG Omega"/>
          <w:sz w:val="24"/>
        </w:rPr>
        <w:fldChar w:fldCharType="begin"/>
      </w:r>
      <w:r>
        <w:rPr>
          <w:rFonts w:ascii="CG Omega" w:hAnsi="CG Omega"/>
          <w:sz w:val="24"/>
        </w:rPr>
        <w:instrText xml:space="preserve"> COMMENTS  \* MERGEFORMAT </w:instrText>
      </w:r>
      <w:r>
        <w:rPr>
          <w:rFonts w:ascii="CG Omega" w:hAnsi="CG Omega"/>
          <w:sz w:val="24"/>
        </w:rPr>
        <w:fldChar w:fldCharType="separate"/>
      </w:r>
      <w:r w:rsidR="009F38AA">
        <w:rPr>
          <w:rFonts w:ascii="CG Omega" w:hAnsi="CG Omega"/>
          <w:sz w:val="24"/>
        </w:rPr>
        <w:t>This service pack updates the dialogue used to produce management reports.</w:t>
      </w:r>
      <w:r>
        <w:rPr>
          <w:rFonts w:ascii="CG Omega" w:hAnsi="CG Omega"/>
          <w:sz w:val="24"/>
        </w:rPr>
        <w:fldChar w:fldCharType="end"/>
      </w:r>
    </w:p>
    <w:p w:rsidR="00E842B7" w:rsidRDefault="00E842B7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10545F">
        <w:trPr>
          <w:trHeight w:val="240"/>
        </w:trPr>
        <w:tc>
          <w:tcPr>
            <w:tcW w:w="10173" w:type="dxa"/>
          </w:tcPr>
          <w:p w:rsidR="0010545F" w:rsidRPr="0075007C" w:rsidRDefault="009F38AA" w:rsidP="009F38AA">
            <w:pPr>
              <w:pStyle w:val="BodyText"/>
              <w:rPr>
                <w:rFonts w:ascii="CG Omega" w:hAnsi="CG Omega"/>
                <w:sz w:val="24"/>
              </w:rPr>
            </w:pPr>
            <w:r w:rsidRPr="009F38AA">
              <w:rPr>
                <w:rFonts w:ascii="CG Omega" w:hAnsi="CG Omega"/>
                <w:sz w:val="24"/>
              </w:rPr>
              <w:t>The separate dialogue windows used by Management Reports, Profit and Loss and Balance Sheet</w:t>
            </w:r>
            <w:r>
              <w:rPr>
                <w:rFonts w:ascii="CG Omega" w:hAnsi="CG Omega"/>
                <w:sz w:val="24"/>
              </w:rPr>
              <w:t xml:space="preserve">s have been combined </w:t>
            </w:r>
            <w:r w:rsidRPr="009F38AA">
              <w:rPr>
                <w:rFonts w:ascii="CG Omega" w:hAnsi="CG Omega"/>
                <w:sz w:val="24"/>
              </w:rPr>
              <w:t>into a single selection window.</w:t>
            </w:r>
          </w:p>
        </w:tc>
      </w:tr>
      <w:tr w:rsidR="008B35C6">
        <w:trPr>
          <w:trHeight w:val="240"/>
        </w:trPr>
        <w:tc>
          <w:tcPr>
            <w:tcW w:w="10173" w:type="dxa"/>
          </w:tcPr>
          <w:p w:rsidR="006861A7" w:rsidRPr="009F38AA" w:rsidRDefault="009F38AA" w:rsidP="009F38AA">
            <w:pPr>
              <w:tabs>
                <w:tab w:val="left" w:pos="3600"/>
              </w:tabs>
              <w:jc w:val="both"/>
              <w:rPr>
                <w:rFonts w:ascii="CG Omega" w:hAnsi="CG Omega" w:cstheme="minorHAnsi"/>
                <w:sz w:val="24"/>
              </w:rPr>
            </w:pPr>
            <w:r w:rsidRPr="009F38AA">
              <w:rPr>
                <w:rFonts w:ascii="CG Omega" w:hAnsi="CG Omega" w:cstheme="minorHAnsi"/>
                <w:sz w:val="24"/>
              </w:rPr>
              <w:t>In addition, you can now mark a Statement Line Layout, Column Layout or Standard Report as Active/Inactive to exclude items that are no longer required (but are to be retained for historical reporting purposes) from financial reports selection.</w:t>
            </w:r>
          </w:p>
        </w:tc>
      </w:tr>
    </w:tbl>
    <w:p w:rsidR="00E842B7" w:rsidRDefault="00E842B7"/>
    <w:p w:rsidR="00E57DB2" w:rsidRDefault="00E57DB2"/>
    <w:p w:rsidR="009163BC" w:rsidRDefault="009163BC">
      <w:pPr>
        <w:rPr>
          <w:rFonts w:ascii="Arial" w:hAnsi="Arial"/>
          <w:b/>
          <w:sz w:val="22"/>
        </w:rPr>
      </w:pPr>
    </w:p>
    <w:p w:rsidR="00E628A8" w:rsidRDefault="00E628A8" w:rsidP="009163BC">
      <w:pPr>
        <w:tabs>
          <w:tab w:val="left" w:pos="2694"/>
        </w:tabs>
        <w:rPr>
          <w:rFonts w:ascii="Arial" w:hAnsi="Arial"/>
          <w:b/>
          <w:sz w:val="22"/>
        </w:rPr>
      </w:pPr>
    </w:p>
    <w:p w:rsidR="00E628A8" w:rsidRDefault="00E628A8" w:rsidP="009163BC">
      <w:pPr>
        <w:tabs>
          <w:tab w:val="left" w:pos="2694"/>
        </w:tabs>
        <w:rPr>
          <w:rFonts w:ascii="Arial" w:hAnsi="Arial"/>
          <w:b/>
          <w:sz w:val="22"/>
        </w:rPr>
      </w:pPr>
    </w:p>
    <w:p w:rsidR="00D641BD" w:rsidRDefault="00D641BD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br w:type="page"/>
      </w:r>
    </w:p>
    <w:p w:rsidR="00E842B7" w:rsidRDefault="00E842B7" w:rsidP="009163BC">
      <w:pPr>
        <w:tabs>
          <w:tab w:val="left" w:pos="2694"/>
        </w:tabs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lastRenderedPageBreak/>
        <w:t>DOCUMENTATION CHANGES</w:t>
      </w:r>
    </w:p>
    <w:p w:rsidR="005E5511" w:rsidRDefault="005E5511" w:rsidP="005E5511">
      <w:pPr>
        <w:rPr>
          <w:i/>
        </w:rPr>
      </w:pPr>
    </w:p>
    <w:p w:rsidR="007C1156" w:rsidRDefault="006E692B" w:rsidP="00B45DC6">
      <w:pPr>
        <w:pStyle w:val="Heading3"/>
        <w:ind w:left="0"/>
      </w:pPr>
      <w:r>
        <w:t>Management Reports</w:t>
      </w:r>
      <w:r w:rsidR="007C1156">
        <w:t xml:space="preserve"> Window</w:t>
      </w:r>
    </w:p>
    <w:p w:rsidR="00FD1E58" w:rsidRPr="007C1156" w:rsidRDefault="00517DB6" w:rsidP="007C1156">
      <w:pPr>
        <w:pStyle w:val="BodyText"/>
        <w:rPr>
          <w:i/>
        </w:rPr>
      </w:pPr>
      <w:r>
        <w:rPr>
          <w:noProof/>
        </w:rPr>
        <w:drawing>
          <wp:inline distT="0" distB="0" distL="0" distR="0" wp14:anchorId="4ADA32D4" wp14:editId="5DC23101">
            <wp:extent cx="5943600" cy="5349875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34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9214" w:type="dxa"/>
        <w:tblLayout w:type="fixed"/>
        <w:tblCellMar>
          <w:top w:w="57" w:type="dxa"/>
          <w:left w:w="142" w:type="dxa"/>
          <w:bottom w:w="57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9B676C" w:rsidRPr="00095665" w:rsidTr="007C1156">
        <w:tc>
          <w:tcPr>
            <w:tcW w:w="2268" w:type="dxa"/>
          </w:tcPr>
          <w:p w:rsidR="009B676C" w:rsidRDefault="009B676C" w:rsidP="00446D03">
            <w:pPr>
              <w:pStyle w:val="Subheading"/>
            </w:pPr>
            <w:r>
              <w:t xml:space="preserve">Purpose </w:t>
            </w:r>
          </w:p>
        </w:tc>
        <w:tc>
          <w:tcPr>
            <w:tcW w:w="6946" w:type="dxa"/>
          </w:tcPr>
          <w:p w:rsidR="009B676C" w:rsidRPr="00095665" w:rsidRDefault="009B676C" w:rsidP="00446D03">
            <w:pPr>
              <w:pStyle w:val="BodyText"/>
            </w:pPr>
            <w:r>
              <w:t>This window appears when you select one of “Balance Sheet”, “Profit and Loss” or “Management Reports” from the General Ledger Reports Menu.</w:t>
            </w:r>
          </w:p>
        </w:tc>
      </w:tr>
      <w:tr w:rsidR="009B676C" w:rsidRPr="00095665" w:rsidTr="007C1156">
        <w:tc>
          <w:tcPr>
            <w:tcW w:w="2268" w:type="dxa"/>
          </w:tcPr>
          <w:p w:rsidR="009B676C" w:rsidRDefault="009B676C" w:rsidP="00AC2C1E">
            <w:pPr>
              <w:pStyle w:val="Subheading"/>
            </w:pPr>
            <w:r>
              <w:t>Defined Statement</w:t>
            </w:r>
          </w:p>
        </w:tc>
        <w:tc>
          <w:tcPr>
            <w:tcW w:w="6946" w:type="dxa"/>
          </w:tcPr>
          <w:p w:rsidR="009B676C" w:rsidRDefault="009B676C" w:rsidP="00AC2C1E">
            <w:pPr>
              <w:pStyle w:val="BodyText"/>
            </w:pPr>
            <w:r>
              <w:t xml:space="preserve">(Only if you selected “Management Reports” from the General Ledger reports menu). </w:t>
            </w:r>
          </w:p>
          <w:p w:rsidR="009B676C" w:rsidRDefault="009B676C" w:rsidP="00AC2C1E">
            <w:pPr>
              <w:pStyle w:val="BodyText"/>
            </w:pPr>
            <w:r>
              <w:t xml:space="preserve">Press </w:t>
            </w:r>
            <w:r w:rsidR="00F06E2D">
              <w:t>the search button</w:t>
            </w:r>
            <w:r>
              <w:t xml:space="preserve"> to display a list of standard statement definitions. Selecting a definition fills in the report options specified for that definition and then takes you to the Period Selection prompt.</w:t>
            </w:r>
          </w:p>
          <w:p w:rsidR="009B676C" w:rsidRDefault="009B676C" w:rsidP="00AC2C1E">
            <w:pPr>
              <w:pStyle w:val="BodyText"/>
            </w:pPr>
            <w:r>
              <w:t xml:space="preserve">If you leave this field blank, you are now creating a one-off report and will be prompted for a Statement Line Layout, </w:t>
            </w:r>
            <w:r w:rsidR="00F06E2D">
              <w:t>Column Layout</w:t>
            </w:r>
            <w:r>
              <w:t xml:space="preserve"> and all other report options.</w:t>
            </w:r>
          </w:p>
        </w:tc>
      </w:tr>
      <w:tr w:rsidR="009B676C" w:rsidRPr="00095665" w:rsidTr="007C1156">
        <w:tc>
          <w:tcPr>
            <w:tcW w:w="2268" w:type="dxa"/>
          </w:tcPr>
          <w:p w:rsidR="009B676C" w:rsidRDefault="009B676C" w:rsidP="00BF1025">
            <w:pPr>
              <w:pStyle w:val="Subheading"/>
            </w:pPr>
            <w:r>
              <w:t>Statement Line Layout</w:t>
            </w:r>
          </w:p>
        </w:tc>
        <w:tc>
          <w:tcPr>
            <w:tcW w:w="6946" w:type="dxa"/>
          </w:tcPr>
          <w:p w:rsidR="009B676C" w:rsidRDefault="009B676C" w:rsidP="00BF1025">
            <w:pPr>
              <w:pStyle w:val="BodyText"/>
            </w:pPr>
            <w:r>
              <w:t>(Display only if you selected “Management Reports” from the General Ledger reports menu and then selected a defined statement).</w:t>
            </w:r>
          </w:p>
          <w:p w:rsidR="009B676C" w:rsidRDefault="009B676C" w:rsidP="00BF1025">
            <w:pPr>
              <w:pStyle w:val="BodyText"/>
            </w:pPr>
            <w:r>
              <w:t xml:space="preserve">Enter the required Statement Line Layout. </w:t>
            </w:r>
            <w:r w:rsidR="00F06E2D">
              <w:t>A search is available</w:t>
            </w:r>
            <w:r>
              <w:t>.</w:t>
            </w:r>
          </w:p>
          <w:p w:rsidR="009B676C" w:rsidRDefault="009B676C" w:rsidP="00BF1025">
            <w:pPr>
              <w:pStyle w:val="BodyText"/>
            </w:pPr>
            <w:r>
              <w:t xml:space="preserve">If you selected “Balance Sheet” or “Profit and Loss” from the General Ledger </w:t>
            </w:r>
            <w:r>
              <w:lastRenderedPageBreak/>
              <w:t xml:space="preserve">report menu, you must select a layout of that type. </w:t>
            </w:r>
          </w:p>
          <w:p w:rsidR="009B676C" w:rsidRDefault="009B676C" w:rsidP="00BF1025">
            <w:pPr>
              <w:pStyle w:val="BodyText"/>
            </w:pPr>
            <w:r>
              <w:t>If you are running a one-off report, any layout type may be selected.</w:t>
            </w:r>
          </w:p>
        </w:tc>
      </w:tr>
      <w:tr w:rsidR="009B676C" w:rsidRPr="00095665" w:rsidTr="007C1156">
        <w:tc>
          <w:tcPr>
            <w:tcW w:w="2268" w:type="dxa"/>
          </w:tcPr>
          <w:p w:rsidR="009B676C" w:rsidRDefault="009B676C" w:rsidP="00BF1025">
            <w:pPr>
              <w:pStyle w:val="Subheading"/>
            </w:pPr>
            <w:r>
              <w:lastRenderedPageBreak/>
              <w:t>Type</w:t>
            </w:r>
          </w:p>
        </w:tc>
        <w:tc>
          <w:tcPr>
            <w:tcW w:w="6946" w:type="dxa"/>
          </w:tcPr>
          <w:p w:rsidR="009B676C" w:rsidRDefault="009B676C" w:rsidP="00BF1025">
            <w:pPr>
              <w:pStyle w:val="BodyText"/>
            </w:pPr>
            <w:r>
              <w:t>(Display only). This field shows the type of Statement Line Layout being used for the current Report.</w:t>
            </w:r>
          </w:p>
        </w:tc>
      </w:tr>
      <w:tr w:rsidR="009B676C" w:rsidRPr="00095665" w:rsidTr="007C1156">
        <w:tc>
          <w:tcPr>
            <w:tcW w:w="2268" w:type="dxa"/>
          </w:tcPr>
          <w:p w:rsidR="009B676C" w:rsidRDefault="009B676C" w:rsidP="00BF1025">
            <w:pPr>
              <w:pStyle w:val="Subheading"/>
            </w:pPr>
            <w:r>
              <w:t>Column Layout</w:t>
            </w:r>
          </w:p>
        </w:tc>
        <w:tc>
          <w:tcPr>
            <w:tcW w:w="6946" w:type="dxa"/>
          </w:tcPr>
          <w:p w:rsidR="009B676C" w:rsidRDefault="009B676C" w:rsidP="00BF1025">
            <w:pPr>
              <w:pStyle w:val="BodyText"/>
            </w:pPr>
            <w:r>
              <w:t>(Display only if you selected “Management Reports” from the General Ledger reports menu and then selected a defined statement).</w:t>
            </w:r>
          </w:p>
          <w:p w:rsidR="009B676C" w:rsidRDefault="009B676C" w:rsidP="00BF1025">
            <w:pPr>
              <w:pStyle w:val="BodyText"/>
            </w:pPr>
            <w:r>
              <w:t xml:space="preserve">Enter the required Column Layout. </w:t>
            </w:r>
            <w:r w:rsidR="00F06E2D">
              <w:t>A search is available.</w:t>
            </w:r>
          </w:p>
        </w:tc>
      </w:tr>
    </w:tbl>
    <w:p w:rsidR="00C45F53" w:rsidRDefault="00C45F53" w:rsidP="00C45F53">
      <w:pPr>
        <w:rPr>
          <w:i/>
          <w:sz w:val="24"/>
          <w:szCs w:val="24"/>
        </w:rPr>
      </w:pPr>
    </w:p>
    <w:p w:rsidR="000C7B2C" w:rsidRDefault="000C7B2C" w:rsidP="000C7B2C">
      <w:pPr>
        <w:pStyle w:val="Heading3"/>
        <w:ind w:left="0"/>
      </w:pPr>
      <w:r>
        <w:t>Financial Statement Maintenance Window</w:t>
      </w:r>
    </w:p>
    <w:p w:rsidR="000C7B2C" w:rsidRDefault="000C7B2C" w:rsidP="000C7B2C">
      <w:pPr>
        <w:pStyle w:val="BodyText"/>
        <w:rPr>
          <w:i/>
        </w:rPr>
      </w:pPr>
      <w:r>
        <w:rPr>
          <w:noProof/>
        </w:rPr>
        <w:drawing>
          <wp:inline distT="0" distB="0" distL="0" distR="0" wp14:anchorId="5D71816D" wp14:editId="35B637B6">
            <wp:extent cx="5381625" cy="344805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81625" cy="344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214" w:type="dxa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0C7B2C" w:rsidRPr="00095665" w:rsidTr="005A2CBE">
        <w:tc>
          <w:tcPr>
            <w:tcW w:w="2268" w:type="dxa"/>
          </w:tcPr>
          <w:p w:rsidR="000C7B2C" w:rsidRDefault="000C7B2C" w:rsidP="005A2CBE">
            <w:pPr>
              <w:pStyle w:val="Subheading"/>
            </w:pPr>
            <w:r>
              <w:t>Active</w:t>
            </w:r>
          </w:p>
        </w:tc>
        <w:tc>
          <w:tcPr>
            <w:tcW w:w="6946" w:type="dxa"/>
          </w:tcPr>
          <w:p w:rsidR="000C7B2C" w:rsidRDefault="00BC1CB5" w:rsidP="005A2CBE">
            <w:pPr>
              <w:pStyle w:val="BodyText"/>
            </w:pPr>
            <w:r>
              <w:t>If you no longer want a s</w:t>
            </w:r>
            <w:r w:rsidR="000C7B2C">
              <w:t>tatement line layout to be used for current reports, but wish to retain it for historical reporting purposes, you can mark it as no longer active.</w:t>
            </w:r>
          </w:p>
          <w:p w:rsidR="000C7B2C" w:rsidRPr="00095665" w:rsidRDefault="000C7B2C" w:rsidP="005A2CBE">
            <w:pPr>
              <w:pStyle w:val="BodyText"/>
            </w:pPr>
            <w:r>
              <w:t xml:space="preserve">Statement Line Layouts that are not active are not available for selection in the Balance Sheet, Profit and Loss or Management Reports.   </w:t>
            </w:r>
          </w:p>
        </w:tc>
      </w:tr>
    </w:tbl>
    <w:p w:rsidR="00BC1CB5" w:rsidRDefault="00BC1CB5" w:rsidP="00BC1CB5">
      <w:pPr>
        <w:pStyle w:val="Heading3"/>
        <w:ind w:left="0"/>
      </w:pPr>
      <w:r>
        <w:lastRenderedPageBreak/>
        <w:t>Column Layout Maintenance Window</w:t>
      </w:r>
    </w:p>
    <w:p w:rsidR="00BC1CB5" w:rsidRPr="00BC1CB5" w:rsidRDefault="00BC1CB5" w:rsidP="00BC1CB5">
      <w:pPr>
        <w:pStyle w:val="BodyText"/>
      </w:pPr>
      <w:r>
        <w:rPr>
          <w:noProof/>
        </w:rPr>
        <w:drawing>
          <wp:inline distT="0" distB="0" distL="0" distR="0" wp14:anchorId="418D4BCF" wp14:editId="38D1E98A">
            <wp:extent cx="5686425" cy="345757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86425" cy="3457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214" w:type="dxa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0C7B2C" w:rsidRPr="00095665" w:rsidTr="005A2CBE">
        <w:tc>
          <w:tcPr>
            <w:tcW w:w="2268" w:type="dxa"/>
          </w:tcPr>
          <w:p w:rsidR="000C7B2C" w:rsidRDefault="000C7B2C" w:rsidP="005A2CBE">
            <w:pPr>
              <w:pStyle w:val="Subheading"/>
            </w:pPr>
            <w:r>
              <w:t>Active</w:t>
            </w:r>
          </w:p>
        </w:tc>
        <w:tc>
          <w:tcPr>
            <w:tcW w:w="6946" w:type="dxa"/>
          </w:tcPr>
          <w:p w:rsidR="000C7B2C" w:rsidRDefault="00BC1CB5" w:rsidP="005A2CBE">
            <w:pPr>
              <w:pStyle w:val="BodyText"/>
            </w:pPr>
            <w:r>
              <w:t>If you no longer want a s</w:t>
            </w:r>
            <w:r w:rsidR="000C7B2C">
              <w:t xml:space="preserve">tatement </w:t>
            </w:r>
            <w:r>
              <w:t>column</w:t>
            </w:r>
            <w:r w:rsidR="000C7B2C">
              <w:t xml:space="preserve"> </w:t>
            </w:r>
            <w:r>
              <w:t xml:space="preserve">format </w:t>
            </w:r>
            <w:r w:rsidR="000C7B2C">
              <w:t>to be used for current reports, but wish to retain it for historical reporting purposes, you can mark it as no longer active.</w:t>
            </w:r>
          </w:p>
          <w:p w:rsidR="000C7B2C" w:rsidRPr="00095665" w:rsidRDefault="000C7B2C" w:rsidP="006E29F9">
            <w:pPr>
              <w:pStyle w:val="BodyText"/>
            </w:pPr>
            <w:r>
              <w:t xml:space="preserve">Statement </w:t>
            </w:r>
            <w:r w:rsidR="006E29F9">
              <w:t>c</w:t>
            </w:r>
            <w:r>
              <w:t xml:space="preserve">olumn </w:t>
            </w:r>
            <w:r w:rsidR="006E29F9">
              <w:t>formats</w:t>
            </w:r>
            <w:r>
              <w:t xml:space="preserve"> that are not active are not available for selection in the Balance Sheet, Profit and Loss or Management Reports.   </w:t>
            </w:r>
          </w:p>
        </w:tc>
      </w:tr>
    </w:tbl>
    <w:p w:rsidR="000C7B2C" w:rsidRDefault="000C7B2C" w:rsidP="000C7B2C">
      <w:pPr>
        <w:tabs>
          <w:tab w:val="left" w:pos="2694"/>
        </w:tabs>
        <w:rPr>
          <w:rFonts w:ascii="Arial" w:hAnsi="Arial"/>
          <w:b/>
          <w:sz w:val="22"/>
        </w:rPr>
      </w:pPr>
    </w:p>
    <w:p w:rsidR="006E29F9" w:rsidRDefault="00397537" w:rsidP="006E29F9">
      <w:pPr>
        <w:pStyle w:val="Heading3"/>
        <w:ind w:left="0"/>
      </w:pPr>
      <w:r>
        <w:lastRenderedPageBreak/>
        <w:t>Standard Statement Description</w:t>
      </w:r>
      <w:r w:rsidR="006E29F9">
        <w:t xml:space="preserve"> Window</w:t>
      </w:r>
    </w:p>
    <w:p w:rsidR="006E29F9" w:rsidRPr="006E29F9" w:rsidRDefault="00397537" w:rsidP="006E29F9">
      <w:pPr>
        <w:pStyle w:val="BodyText"/>
      </w:pPr>
      <w:r>
        <w:rPr>
          <w:noProof/>
        </w:rPr>
        <w:drawing>
          <wp:inline distT="0" distB="0" distL="0" distR="0" wp14:anchorId="5DC76DA6" wp14:editId="44F15BC3">
            <wp:extent cx="3705225" cy="469582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469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214" w:type="dxa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0C7B2C" w:rsidRPr="00095665" w:rsidTr="005A2CBE">
        <w:tc>
          <w:tcPr>
            <w:tcW w:w="2268" w:type="dxa"/>
          </w:tcPr>
          <w:p w:rsidR="000C7B2C" w:rsidRDefault="000C7B2C" w:rsidP="005A2CBE">
            <w:pPr>
              <w:pStyle w:val="Subheading"/>
            </w:pPr>
            <w:r>
              <w:t>Active</w:t>
            </w:r>
          </w:p>
        </w:tc>
        <w:tc>
          <w:tcPr>
            <w:tcW w:w="6946" w:type="dxa"/>
          </w:tcPr>
          <w:p w:rsidR="000C7B2C" w:rsidRDefault="000C7B2C" w:rsidP="005A2CBE">
            <w:pPr>
              <w:pStyle w:val="BodyText"/>
            </w:pPr>
            <w:r>
              <w:t>If you no longer want a Standard Statement to be used, but wish to retain it for historical reporting purposes, you can mark it as no longer active.</w:t>
            </w:r>
          </w:p>
          <w:p w:rsidR="000C7B2C" w:rsidRPr="00095665" w:rsidRDefault="000C7B2C" w:rsidP="005A2CBE">
            <w:pPr>
              <w:pStyle w:val="BodyText"/>
            </w:pPr>
            <w:r>
              <w:t xml:space="preserve">Standard Statements that are not active are not available for selection </w:t>
            </w:r>
            <w:proofErr w:type="gramStart"/>
            <w:r>
              <w:t>in  Management</w:t>
            </w:r>
            <w:proofErr w:type="gramEnd"/>
            <w:r>
              <w:t xml:space="preserve"> Reports.   </w:t>
            </w:r>
          </w:p>
        </w:tc>
      </w:tr>
    </w:tbl>
    <w:p w:rsidR="00C45F53" w:rsidRDefault="00C45F53">
      <w:pPr>
        <w:rPr>
          <w:i/>
        </w:rPr>
      </w:pPr>
    </w:p>
    <w:p w:rsidR="004C1479" w:rsidRDefault="00C45F53" w:rsidP="00397537">
      <w:pPr>
        <w:pStyle w:val="BodyText"/>
        <w:rPr>
          <w:rFonts w:ascii="Arial" w:hAnsi="Arial"/>
          <w:b/>
          <w:sz w:val="22"/>
        </w:rPr>
      </w:pPr>
      <w:r>
        <w:rPr>
          <w:i/>
        </w:rPr>
        <w:t xml:space="preserve"> </w:t>
      </w:r>
    </w:p>
    <w:sectPr w:rsidR="004C1479" w:rsidSect="00D10FF1">
      <w:footerReference w:type="default" r:id="rId14"/>
      <w:pgSz w:w="11907" w:h="16840" w:code="9"/>
      <w:pgMar w:top="85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C7C" w:rsidRDefault="00DD6C7C">
      <w:r>
        <w:separator/>
      </w:r>
    </w:p>
  </w:endnote>
  <w:endnote w:type="continuationSeparator" w:id="0">
    <w:p w:rsidR="00DD6C7C" w:rsidRDefault="00DD6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Lucida Sans Unicode"/>
    <w:charset w:val="00"/>
    <w:family w:val="swiss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B63E18">
      <w:tc>
        <w:tcPr>
          <w:tcW w:w="2178" w:type="dxa"/>
        </w:tcPr>
        <w:p w:rsidR="00B63E18" w:rsidRDefault="00B63E18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B63E18" w:rsidRDefault="00B63E18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397537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B63E18">
      <w:tc>
        <w:tcPr>
          <w:tcW w:w="2178" w:type="dxa"/>
        </w:tcPr>
        <w:p w:rsidR="00B63E18" w:rsidRDefault="00B63E18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B63E18" w:rsidRDefault="00B63E18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397537">
            <w:rPr>
              <w:rFonts w:ascii="Arial" w:hAnsi="Arial"/>
              <w:noProof/>
              <w:sz w:val="18"/>
            </w:rPr>
            <w:t>ZG60_000130.docx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B63E18">
      <w:trPr>
        <w:cantSplit/>
      </w:trPr>
      <w:tc>
        <w:tcPr>
          <w:tcW w:w="2178" w:type="dxa"/>
        </w:tcPr>
        <w:p w:rsidR="00B63E18" w:rsidRDefault="00B63E18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B63E18" w:rsidRDefault="00B63E18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397537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sdt>
          <w:sdtPr>
            <w:rPr>
              <w:rFonts w:ascii="Arial" w:hAnsi="Arial" w:cs="Arial"/>
              <w:sz w:val="18"/>
              <w:szCs w:val="18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p w:rsidR="00B63E18" w:rsidRPr="00B656B9" w:rsidRDefault="00B656B9" w:rsidP="00B656B9">
              <w:pPr>
                <w:pStyle w:val="Foot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B656B9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B656B9">
                <w:rPr>
                  <w:rFonts w:ascii="Arial" w:hAnsi="Arial" w:cs="Arial"/>
                  <w:b/>
                  <w:bCs/>
                  <w:sz w:val="18"/>
                  <w:szCs w:val="18"/>
                </w:rPr>
                <w:fldChar w:fldCharType="begin"/>
              </w:r>
              <w:r w:rsidRPr="00B656B9">
                <w:rPr>
                  <w:rFonts w:ascii="Arial" w:hAnsi="Arial" w:cs="Arial"/>
                  <w:b/>
                  <w:bCs/>
                  <w:sz w:val="18"/>
                  <w:szCs w:val="18"/>
                </w:rPr>
                <w:instrText xml:space="preserve"> PAGE </w:instrText>
              </w:r>
              <w:r w:rsidRPr="00B656B9">
                <w:rPr>
                  <w:rFonts w:ascii="Arial" w:hAnsi="Arial" w:cs="Arial"/>
                  <w:b/>
                  <w:bCs/>
                  <w:sz w:val="18"/>
                  <w:szCs w:val="18"/>
                </w:rPr>
                <w:fldChar w:fldCharType="separate"/>
              </w:r>
              <w:r w:rsidR="00517DB6">
                <w:rPr>
                  <w:rFonts w:ascii="Arial" w:hAnsi="Arial" w:cs="Arial"/>
                  <w:b/>
                  <w:bCs/>
                  <w:noProof/>
                  <w:sz w:val="18"/>
                  <w:szCs w:val="18"/>
                </w:rPr>
                <w:t>6</w:t>
              </w:r>
              <w:r w:rsidRPr="00B656B9">
                <w:rPr>
                  <w:rFonts w:ascii="Arial" w:hAnsi="Arial" w:cs="Arial"/>
                  <w:b/>
                  <w:bCs/>
                  <w:sz w:val="18"/>
                  <w:szCs w:val="18"/>
                </w:rPr>
                <w:fldChar w:fldCharType="end"/>
              </w:r>
              <w:r w:rsidRPr="00B656B9">
                <w:rPr>
                  <w:rFonts w:ascii="Arial" w:hAnsi="Arial" w:cs="Arial"/>
                  <w:sz w:val="18"/>
                  <w:szCs w:val="18"/>
                </w:rPr>
                <w:t xml:space="preserve"> of </w:t>
              </w:r>
              <w:r w:rsidRPr="00B656B9">
                <w:rPr>
                  <w:rFonts w:ascii="Arial" w:hAnsi="Arial" w:cs="Arial"/>
                  <w:b/>
                  <w:bCs/>
                  <w:sz w:val="18"/>
                  <w:szCs w:val="18"/>
                </w:rPr>
                <w:fldChar w:fldCharType="begin"/>
              </w:r>
              <w:r w:rsidRPr="00B656B9">
                <w:rPr>
                  <w:rFonts w:ascii="Arial" w:hAnsi="Arial" w:cs="Arial"/>
                  <w:b/>
                  <w:bCs/>
                  <w:sz w:val="18"/>
                  <w:szCs w:val="18"/>
                </w:rPr>
                <w:instrText xml:space="preserve"> NUMPAGES  </w:instrText>
              </w:r>
              <w:r w:rsidRPr="00B656B9">
                <w:rPr>
                  <w:rFonts w:ascii="Arial" w:hAnsi="Arial" w:cs="Arial"/>
                  <w:b/>
                  <w:bCs/>
                  <w:sz w:val="18"/>
                  <w:szCs w:val="18"/>
                </w:rPr>
                <w:fldChar w:fldCharType="separate"/>
              </w:r>
              <w:r w:rsidR="00517DB6">
                <w:rPr>
                  <w:rFonts w:ascii="Arial" w:hAnsi="Arial" w:cs="Arial"/>
                  <w:b/>
                  <w:bCs/>
                  <w:noProof/>
                  <w:sz w:val="18"/>
                  <w:szCs w:val="18"/>
                </w:rPr>
                <w:t>6</w:t>
              </w:r>
              <w:r w:rsidRPr="00B656B9">
                <w:rPr>
                  <w:rFonts w:ascii="Arial" w:hAnsi="Arial" w:cs="Arial"/>
                  <w:b/>
                  <w:bCs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B63E18" w:rsidRDefault="00B63E1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C7C" w:rsidRDefault="00DD6C7C">
      <w:r>
        <w:separator/>
      </w:r>
    </w:p>
  </w:footnote>
  <w:footnote w:type="continuationSeparator" w:id="0">
    <w:p w:rsidR="00DD6C7C" w:rsidRDefault="00DD6C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7CA60E5"/>
    <w:multiLevelType w:val="hybridMultilevel"/>
    <w:tmpl w:val="C94CFA0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0765C"/>
    <w:multiLevelType w:val="hybridMultilevel"/>
    <w:tmpl w:val="EE0CF5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6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603F2167"/>
    <w:multiLevelType w:val="hybridMultilevel"/>
    <w:tmpl w:val="3E0A7D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7C4D5772"/>
    <w:multiLevelType w:val="hybridMultilevel"/>
    <w:tmpl w:val="12F81E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9"/>
  </w:num>
  <w:num w:numId="9">
    <w:abstractNumId w:val="3"/>
  </w:num>
  <w:num w:numId="1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EAA"/>
    <w:rsid w:val="000068B9"/>
    <w:rsid w:val="000109A8"/>
    <w:rsid w:val="0001377E"/>
    <w:rsid w:val="000162AB"/>
    <w:rsid w:val="00021D8B"/>
    <w:rsid w:val="000231C8"/>
    <w:rsid w:val="00023FC7"/>
    <w:rsid w:val="00030CD5"/>
    <w:rsid w:val="000330B0"/>
    <w:rsid w:val="0003379F"/>
    <w:rsid w:val="00036C80"/>
    <w:rsid w:val="00044EB7"/>
    <w:rsid w:val="000453DD"/>
    <w:rsid w:val="00062406"/>
    <w:rsid w:val="000627C8"/>
    <w:rsid w:val="00067B8E"/>
    <w:rsid w:val="00071067"/>
    <w:rsid w:val="000754B8"/>
    <w:rsid w:val="00077F0C"/>
    <w:rsid w:val="00081B90"/>
    <w:rsid w:val="00096190"/>
    <w:rsid w:val="000A636F"/>
    <w:rsid w:val="000B1574"/>
    <w:rsid w:val="000B285E"/>
    <w:rsid w:val="000B3A81"/>
    <w:rsid w:val="000B69BC"/>
    <w:rsid w:val="000C07A7"/>
    <w:rsid w:val="000C4894"/>
    <w:rsid w:val="000C7B2C"/>
    <w:rsid w:val="000D1EF0"/>
    <w:rsid w:val="000D5156"/>
    <w:rsid w:val="000D5D5F"/>
    <w:rsid w:val="000D6080"/>
    <w:rsid w:val="000D60FA"/>
    <w:rsid w:val="000D668B"/>
    <w:rsid w:val="000E175D"/>
    <w:rsid w:val="000E3A57"/>
    <w:rsid w:val="000F1DA2"/>
    <w:rsid w:val="000F73B3"/>
    <w:rsid w:val="0010221A"/>
    <w:rsid w:val="00104622"/>
    <w:rsid w:val="0010545F"/>
    <w:rsid w:val="00110A9F"/>
    <w:rsid w:val="00113714"/>
    <w:rsid w:val="00120C2A"/>
    <w:rsid w:val="00120CA0"/>
    <w:rsid w:val="001249EC"/>
    <w:rsid w:val="00130380"/>
    <w:rsid w:val="00135D27"/>
    <w:rsid w:val="001364DC"/>
    <w:rsid w:val="00144815"/>
    <w:rsid w:val="0014789A"/>
    <w:rsid w:val="0015025F"/>
    <w:rsid w:val="00150861"/>
    <w:rsid w:val="0015112A"/>
    <w:rsid w:val="001637D5"/>
    <w:rsid w:val="00165525"/>
    <w:rsid w:val="001700BC"/>
    <w:rsid w:val="001848C5"/>
    <w:rsid w:val="00186445"/>
    <w:rsid w:val="001864EE"/>
    <w:rsid w:val="00190C77"/>
    <w:rsid w:val="00193FBD"/>
    <w:rsid w:val="001A2BD7"/>
    <w:rsid w:val="001B2366"/>
    <w:rsid w:val="001B26F5"/>
    <w:rsid w:val="001B49BE"/>
    <w:rsid w:val="001B5BA7"/>
    <w:rsid w:val="001B6AAC"/>
    <w:rsid w:val="001C18EC"/>
    <w:rsid w:val="001C73CC"/>
    <w:rsid w:val="001D32E5"/>
    <w:rsid w:val="001E107E"/>
    <w:rsid w:val="001E3747"/>
    <w:rsid w:val="001F55CF"/>
    <w:rsid w:val="00201F1C"/>
    <w:rsid w:val="00202186"/>
    <w:rsid w:val="00203F09"/>
    <w:rsid w:val="0021010F"/>
    <w:rsid w:val="002138D9"/>
    <w:rsid w:val="0021454B"/>
    <w:rsid w:val="00220E25"/>
    <w:rsid w:val="002316D7"/>
    <w:rsid w:val="00231D5D"/>
    <w:rsid w:val="0024125F"/>
    <w:rsid w:val="00245859"/>
    <w:rsid w:val="00247BED"/>
    <w:rsid w:val="00250EF2"/>
    <w:rsid w:val="002540BB"/>
    <w:rsid w:val="00257B77"/>
    <w:rsid w:val="00260E3E"/>
    <w:rsid w:val="00264476"/>
    <w:rsid w:val="00266659"/>
    <w:rsid w:val="00270E3C"/>
    <w:rsid w:val="00271C85"/>
    <w:rsid w:val="0028193E"/>
    <w:rsid w:val="00282DC4"/>
    <w:rsid w:val="0028566F"/>
    <w:rsid w:val="00287665"/>
    <w:rsid w:val="00292BAD"/>
    <w:rsid w:val="00293163"/>
    <w:rsid w:val="00296146"/>
    <w:rsid w:val="00297982"/>
    <w:rsid w:val="00297C01"/>
    <w:rsid w:val="002A189C"/>
    <w:rsid w:val="002B547C"/>
    <w:rsid w:val="002B5C9F"/>
    <w:rsid w:val="002B77AA"/>
    <w:rsid w:val="002C11B8"/>
    <w:rsid w:val="002C4368"/>
    <w:rsid w:val="002C5688"/>
    <w:rsid w:val="002E16A3"/>
    <w:rsid w:val="002E4E3C"/>
    <w:rsid w:val="002F035F"/>
    <w:rsid w:val="002F1DAF"/>
    <w:rsid w:val="002F3973"/>
    <w:rsid w:val="002F448F"/>
    <w:rsid w:val="002F5085"/>
    <w:rsid w:val="002F7E04"/>
    <w:rsid w:val="0030154E"/>
    <w:rsid w:val="003020DE"/>
    <w:rsid w:val="00302DC2"/>
    <w:rsid w:val="003038A3"/>
    <w:rsid w:val="0031343C"/>
    <w:rsid w:val="0031723F"/>
    <w:rsid w:val="0032528B"/>
    <w:rsid w:val="003258FD"/>
    <w:rsid w:val="0033019E"/>
    <w:rsid w:val="00332D5F"/>
    <w:rsid w:val="003334A5"/>
    <w:rsid w:val="00340EC0"/>
    <w:rsid w:val="00344EE8"/>
    <w:rsid w:val="003511C0"/>
    <w:rsid w:val="003526BB"/>
    <w:rsid w:val="0035467B"/>
    <w:rsid w:val="00362FD2"/>
    <w:rsid w:val="00370D95"/>
    <w:rsid w:val="00371E83"/>
    <w:rsid w:val="00373564"/>
    <w:rsid w:val="0038097B"/>
    <w:rsid w:val="00381652"/>
    <w:rsid w:val="0039291E"/>
    <w:rsid w:val="00392CB4"/>
    <w:rsid w:val="00393F49"/>
    <w:rsid w:val="00396E00"/>
    <w:rsid w:val="00397537"/>
    <w:rsid w:val="003C35AD"/>
    <w:rsid w:val="003C4B41"/>
    <w:rsid w:val="003C4B9A"/>
    <w:rsid w:val="003C6805"/>
    <w:rsid w:val="003C6FAE"/>
    <w:rsid w:val="003D2EA5"/>
    <w:rsid w:val="003D3DE5"/>
    <w:rsid w:val="003D45BD"/>
    <w:rsid w:val="003D7E3D"/>
    <w:rsid w:val="003D7EBA"/>
    <w:rsid w:val="003E1906"/>
    <w:rsid w:val="003E42A1"/>
    <w:rsid w:val="003F2B87"/>
    <w:rsid w:val="003F559A"/>
    <w:rsid w:val="003F6A0F"/>
    <w:rsid w:val="0040285F"/>
    <w:rsid w:val="00406DAD"/>
    <w:rsid w:val="004134AD"/>
    <w:rsid w:val="00416694"/>
    <w:rsid w:val="0043088F"/>
    <w:rsid w:val="004335C2"/>
    <w:rsid w:val="00435BD9"/>
    <w:rsid w:val="004420D7"/>
    <w:rsid w:val="00446FBF"/>
    <w:rsid w:val="004503B6"/>
    <w:rsid w:val="004528B3"/>
    <w:rsid w:val="004557D4"/>
    <w:rsid w:val="00456C00"/>
    <w:rsid w:val="00463F36"/>
    <w:rsid w:val="00467EB7"/>
    <w:rsid w:val="004725CA"/>
    <w:rsid w:val="004978F6"/>
    <w:rsid w:val="00497A8C"/>
    <w:rsid w:val="004A503A"/>
    <w:rsid w:val="004A6E72"/>
    <w:rsid w:val="004B4A42"/>
    <w:rsid w:val="004C0986"/>
    <w:rsid w:val="004C1479"/>
    <w:rsid w:val="004C508E"/>
    <w:rsid w:val="004E489D"/>
    <w:rsid w:val="004F4331"/>
    <w:rsid w:val="004F6C1C"/>
    <w:rsid w:val="004F7AB8"/>
    <w:rsid w:val="00500FF4"/>
    <w:rsid w:val="005013F2"/>
    <w:rsid w:val="00502836"/>
    <w:rsid w:val="00504CC2"/>
    <w:rsid w:val="00505D98"/>
    <w:rsid w:val="00511FC6"/>
    <w:rsid w:val="00512487"/>
    <w:rsid w:val="00515BF5"/>
    <w:rsid w:val="00516B6B"/>
    <w:rsid w:val="00517DB6"/>
    <w:rsid w:val="0052255E"/>
    <w:rsid w:val="00552BED"/>
    <w:rsid w:val="00555369"/>
    <w:rsid w:val="00556FE5"/>
    <w:rsid w:val="005604AF"/>
    <w:rsid w:val="005641C6"/>
    <w:rsid w:val="00565991"/>
    <w:rsid w:val="00576EE9"/>
    <w:rsid w:val="00581CF4"/>
    <w:rsid w:val="00583C0F"/>
    <w:rsid w:val="00585802"/>
    <w:rsid w:val="00590045"/>
    <w:rsid w:val="005917EB"/>
    <w:rsid w:val="00594EA3"/>
    <w:rsid w:val="005957CA"/>
    <w:rsid w:val="005A06DA"/>
    <w:rsid w:val="005A0AAB"/>
    <w:rsid w:val="005A5E6F"/>
    <w:rsid w:val="005B2774"/>
    <w:rsid w:val="005B79C6"/>
    <w:rsid w:val="005B7D77"/>
    <w:rsid w:val="005C0734"/>
    <w:rsid w:val="005D034F"/>
    <w:rsid w:val="005E0BF1"/>
    <w:rsid w:val="005E4DFF"/>
    <w:rsid w:val="005E5511"/>
    <w:rsid w:val="005E7F8D"/>
    <w:rsid w:val="005F47FF"/>
    <w:rsid w:val="005F574C"/>
    <w:rsid w:val="00607919"/>
    <w:rsid w:val="00610734"/>
    <w:rsid w:val="00611CEC"/>
    <w:rsid w:val="006220FA"/>
    <w:rsid w:val="00636BA6"/>
    <w:rsid w:val="00647263"/>
    <w:rsid w:val="00650395"/>
    <w:rsid w:val="00657318"/>
    <w:rsid w:val="00660685"/>
    <w:rsid w:val="00666550"/>
    <w:rsid w:val="006810CB"/>
    <w:rsid w:val="00681336"/>
    <w:rsid w:val="00681A17"/>
    <w:rsid w:val="00685A71"/>
    <w:rsid w:val="006861A7"/>
    <w:rsid w:val="00690052"/>
    <w:rsid w:val="00690F92"/>
    <w:rsid w:val="00693945"/>
    <w:rsid w:val="006A0978"/>
    <w:rsid w:val="006A15E9"/>
    <w:rsid w:val="006A2B04"/>
    <w:rsid w:val="006A428F"/>
    <w:rsid w:val="006B3282"/>
    <w:rsid w:val="006B4934"/>
    <w:rsid w:val="006B717E"/>
    <w:rsid w:val="006C6EAD"/>
    <w:rsid w:val="006C7979"/>
    <w:rsid w:val="006D139A"/>
    <w:rsid w:val="006D1C45"/>
    <w:rsid w:val="006D33E3"/>
    <w:rsid w:val="006E1CF4"/>
    <w:rsid w:val="006E29F9"/>
    <w:rsid w:val="006E322B"/>
    <w:rsid w:val="006E692B"/>
    <w:rsid w:val="006E7113"/>
    <w:rsid w:val="00700081"/>
    <w:rsid w:val="0070028E"/>
    <w:rsid w:val="0070318E"/>
    <w:rsid w:val="00704DCD"/>
    <w:rsid w:val="0070512F"/>
    <w:rsid w:val="0070720F"/>
    <w:rsid w:val="00707C1A"/>
    <w:rsid w:val="00730C63"/>
    <w:rsid w:val="00731DE8"/>
    <w:rsid w:val="00731F5F"/>
    <w:rsid w:val="007344A6"/>
    <w:rsid w:val="007405A3"/>
    <w:rsid w:val="00741B66"/>
    <w:rsid w:val="00745AAF"/>
    <w:rsid w:val="0075007C"/>
    <w:rsid w:val="00750955"/>
    <w:rsid w:val="00750C69"/>
    <w:rsid w:val="00751C3A"/>
    <w:rsid w:val="00755451"/>
    <w:rsid w:val="00755B63"/>
    <w:rsid w:val="007563A9"/>
    <w:rsid w:val="00774199"/>
    <w:rsid w:val="0078161A"/>
    <w:rsid w:val="00786750"/>
    <w:rsid w:val="007912BE"/>
    <w:rsid w:val="00793371"/>
    <w:rsid w:val="00795C96"/>
    <w:rsid w:val="007A0100"/>
    <w:rsid w:val="007A2F64"/>
    <w:rsid w:val="007A42C7"/>
    <w:rsid w:val="007A50D4"/>
    <w:rsid w:val="007B06E0"/>
    <w:rsid w:val="007B62A8"/>
    <w:rsid w:val="007B6880"/>
    <w:rsid w:val="007B768B"/>
    <w:rsid w:val="007B7BCB"/>
    <w:rsid w:val="007C1156"/>
    <w:rsid w:val="007C5B31"/>
    <w:rsid w:val="007D3F96"/>
    <w:rsid w:val="007E2C1B"/>
    <w:rsid w:val="007E2C76"/>
    <w:rsid w:val="007E3E90"/>
    <w:rsid w:val="007E6020"/>
    <w:rsid w:val="007E645C"/>
    <w:rsid w:val="007F3E74"/>
    <w:rsid w:val="007F3EF1"/>
    <w:rsid w:val="007F7C9B"/>
    <w:rsid w:val="00800477"/>
    <w:rsid w:val="00806AB1"/>
    <w:rsid w:val="008227B1"/>
    <w:rsid w:val="0082596A"/>
    <w:rsid w:val="008259F0"/>
    <w:rsid w:val="00833624"/>
    <w:rsid w:val="00837E0D"/>
    <w:rsid w:val="008507AD"/>
    <w:rsid w:val="0085093E"/>
    <w:rsid w:val="0085701B"/>
    <w:rsid w:val="0086354C"/>
    <w:rsid w:val="0086520D"/>
    <w:rsid w:val="008677DD"/>
    <w:rsid w:val="008706ED"/>
    <w:rsid w:val="008758B4"/>
    <w:rsid w:val="00877116"/>
    <w:rsid w:val="00880C15"/>
    <w:rsid w:val="00881762"/>
    <w:rsid w:val="00881E0F"/>
    <w:rsid w:val="008824F8"/>
    <w:rsid w:val="00883E73"/>
    <w:rsid w:val="00892EE4"/>
    <w:rsid w:val="008A23D2"/>
    <w:rsid w:val="008A2BD8"/>
    <w:rsid w:val="008B35C6"/>
    <w:rsid w:val="008C1526"/>
    <w:rsid w:val="008C4355"/>
    <w:rsid w:val="008C551D"/>
    <w:rsid w:val="008D2ECD"/>
    <w:rsid w:val="008E46E3"/>
    <w:rsid w:val="008E7B3D"/>
    <w:rsid w:val="008F7D44"/>
    <w:rsid w:val="009163BC"/>
    <w:rsid w:val="00922613"/>
    <w:rsid w:val="00937B8A"/>
    <w:rsid w:val="00942575"/>
    <w:rsid w:val="009439D5"/>
    <w:rsid w:val="00957696"/>
    <w:rsid w:val="00960E1B"/>
    <w:rsid w:val="00961181"/>
    <w:rsid w:val="0096306F"/>
    <w:rsid w:val="00963C86"/>
    <w:rsid w:val="00973D90"/>
    <w:rsid w:val="00976F21"/>
    <w:rsid w:val="009773B1"/>
    <w:rsid w:val="00977E8F"/>
    <w:rsid w:val="009844DF"/>
    <w:rsid w:val="009855D5"/>
    <w:rsid w:val="009858B6"/>
    <w:rsid w:val="009A5966"/>
    <w:rsid w:val="009A6621"/>
    <w:rsid w:val="009B03FD"/>
    <w:rsid w:val="009B2B56"/>
    <w:rsid w:val="009B676C"/>
    <w:rsid w:val="009C12BB"/>
    <w:rsid w:val="009D1B12"/>
    <w:rsid w:val="009D393E"/>
    <w:rsid w:val="009D5452"/>
    <w:rsid w:val="009D6312"/>
    <w:rsid w:val="009E528A"/>
    <w:rsid w:val="009E5BA9"/>
    <w:rsid w:val="009F0FEB"/>
    <w:rsid w:val="009F112F"/>
    <w:rsid w:val="009F2CAC"/>
    <w:rsid w:val="009F30AA"/>
    <w:rsid w:val="009F38AA"/>
    <w:rsid w:val="009F52F6"/>
    <w:rsid w:val="00A0142D"/>
    <w:rsid w:val="00A04635"/>
    <w:rsid w:val="00A0753E"/>
    <w:rsid w:val="00A07B36"/>
    <w:rsid w:val="00A1387D"/>
    <w:rsid w:val="00A23B07"/>
    <w:rsid w:val="00A27749"/>
    <w:rsid w:val="00A30C44"/>
    <w:rsid w:val="00A4278A"/>
    <w:rsid w:val="00A4293B"/>
    <w:rsid w:val="00A50D75"/>
    <w:rsid w:val="00A63F64"/>
    <w:rsid w:val="00A64D2D"/>
    <w:rsid w:val="00A652B5"/>
    <w:rsid w:val="00A65952"/>
    <w:rsid w:val="00A77C5D"/>
    <w:rsid w:val="00A8018E"/>
    <w:rsid w:val="00A839DE"/>
    <w:rsid w:val="00A9775B"/>
    <w:rsid w:val="00AA07EB"/>
    <w:rsid w:val="00AB3BC2"/>
    <w:rsid w:val="00AC0CB8"/>
    <w:rsid w:val="00AC33C6"/>
    <w:rsid w:val="00AC5414"/>
    <w:rsid w:val="00AC561D"/>
    <w:rsid w:val="00AD208E"/>
    <w:rsid w:val="00AD30F5"/>
    <w:rsid w:val="00AD5A0D"/>
    <w:rsid w:val="00AD7DB4"/>
    <w:rsid w:val="00AF03D8"/>
    <w:rsid w:val="00AF6F21"/>
    <w:rsid w:val="00B00037"/>
    <w:rsid w:val="00B03A56"/>
    <w:rsid w:val="00B06059"/>
    <w:rsid w:val="00B14304"/>
    <w:rsid w:val="00B17767"/>
    <w:rsid w:val="00B21C69"/>
    <w:rsid w:val="00B24263"/>
    <w:rsid w:val="00B30D36"/>
    <w:rsid w:val="00B3648E"/>
    <w:rsid w:val="00B3693F"/>
    <w:rsid w:val="00B45DC6"/>
    <w:rsid w:val="00B55358"/>
    <w:rsid w:val="00B554D1"/>
    <w:rsid w:val="00B57C34"/>
    <w:rsid w:val="00B63E18"/>
    <w:rsid w:val="00B64195"/>
    <w:rsid w:val="00B64BC0"/>
    <w:rsid w:val="00B656B9"/>
    <w:rsid w:val="00B65A22"/>
    <w:rsid w:val="00B66207"/>
    <w:rsid w:val="00B72884"/>
    <w:rsid w:val="00B76D55"/>
    <w:rsid w:val="00B83C9B"/>
    <w:rsid w:val="00B86447"/>
    <w:rsid w:val="00B93EC1"/>
    <w:rsid w:val="00B9753F"/>
    <w:rsid w:val="00BA16AC"/>
    <w:rsid w:val="00BA1907"/>
    <w:rsid w:val="00BB3231"/>
    <w:rsid w:val="00BB356B"/>
    <w:rsid w:val="00BC1CB5"/>
    <w:rsid w:val="00BC33DB"/>
    <w:rsid w:val="00BC3AAC"/>
    <w:rsid w:val="00BC4D0E"/>
    <w:rsid w:val="00BD4B02"/>
    <w:rsid w:val="00BD4BFA"/>
    <w:rsid w:val="00BD4EC8"/>
    <w:rsid w:val="00BE4E15"/>
    <w:rsid w:val="00BE571A"/>
    <w:rsid w:val="00BE5BD2"/>
    <w:rsid w:val="00BE6D19"/>
    <w:rsid w:val="00BF7AFE"/>
    <w:rsid w:val="00C03730"/>
    <w:rsid w:val="00C065BC"/>
    <w:rsid w:val="00C16071"/>
    <w:rsid w:val="00C22171"/>
    <w:rsid w:val="00C37BFE"/>
    <w:rsid w:val="00C40AAA"/>
    <w:rsid w:val="00C44F57"/>
    <w:rsid w:val="00C45198"/>
    <w:rsid w:val="00C45F53"/>
    <w:rsid w:val="00C47C81"/>
    <w:rsid w:val="00C6589D"/>
    <w:rsid w:val="00C67A1B"/>
    <w:rsid w:val="00C67CC9"/>
    <w:rsid w:val="00C7782C"/>
    <w:rsid w:val="00C81E85"/>
    <w:rsid w:val="00C82760"/>
    <w:rsid w:val="00C828A6"/>
    <w:rsid w:val="00C838B8"/>
    <w:rsid w:val="00C85F09"/>
    <w:rsid w:val="00C937B6"/>
    <w:rsid w:val="00C94420"/>
    <w:rsid w:val="00C9703C"/>
    <w:rsid w:val="00C97BB5"/>
    <w:rsid w:val="00CA25DD"/>
    <w:rsid w:val="00CA6031"/>
    <w:rsid w:val="00CA6535"/>
    <w:rsid w:val="00CB640F"/>
    <w:rsid w:val="00CC7B13"/>
    <w:rsid w:val="00CD0F72"/>
    <w:rsid w:val="00CD729E"/>
    <w:rsid w:val="00CD7CC0"/>
    <w:rsid w:val="00CE2202"/>
    <w:rsid w:val="00CE38C7"/>
    <w:rsid w:val="00CE48A7"/>
    <w:rsid w:val="00CF58E0"/>
    <w:rsid w:val="00CF5A61"/>
    <w:rsid w:val="00D0356F"/>
    <w:rsid w:val="00D05283"/>
    <w:rsid w:val="00D05FBC"/>
    <w:rsid w:val="00D10FF1"/>
    <w:rsid w:val="00D143AB"/>
    <w:rsid w:val="00D15D1F"/>
    <w:rsid w:val="00D15E6C"/>
    <w:rsid w:val="00D1763E"/>
    <w:rsid w:val="00D2092A"/>
    <w:rsid w:val="00D23900"/>
    <w:rsid w:val="00D30657"/>
    <w:rsid w:val="00D4273C"/>
    <w:rsid w:val="00D53089"/>
    <w:rsid w:val="00D545BE"/>
    <w:rsid w:val="00D565F8"/>
    <w:rsid w:val="00D641BD"/>
    <w:rsid w:val="00D65403"/>
    <w:rsid w:val="00D7277E"/>
    <w:rsid w:val="00D743FB"/>
    <w:rsid w:val="00D81144"/>
    <w:rsid w:val="00D8740C"/>
    <w:rsid w:val="00D90EAA"/>
    <w:rsid w:val="00D95323"/>
    <w:rsid w:val="00D95D37"/>
    <w:rsid w:val="00DA2F2E"/>
    <w:rsid w:val="00DA2FD0"/>
    <w:rsid w:val="00DB02F7"/>
    <w:rsid w:val="00DB63F3"/>
    <w:rsid w:val="00DC38B4"/>
    <w:rsid w:val="00DC3979"/>
    <w:rsid w:val="00DC3B5E"/>
    <w:rsid w:val="00DC4014"/>
    <w:rsid w:val="00DD0D27"/>
    <w:rsid w:val="00DD243B"/>
    <w:rsid w:val="00DD45D0"/>
    <w:rsid w:val="00DD5846"/>
    <w:rsid w:val="00DD586D"/>
    <w:rsid w:val="00DD5E91"/>
    <w:rsid w:val="00DD6C7C"/>
    <w:rsid w:val="00DE0EFC"/>
    <w:rsid w:val="00DE25A1"/>
    <w:rsid w:val="00DE2ED0"/>
    <w:rsid w:val="00DE65B0"/>
    <w:rsid w:val="00DE7FFD"/>
    <w:rsid w:val="00DF1797"/>
    <w:rsid w:val="00DF5993"/>
    <w:rsid w:val="00DF6589"/>
    <w:rsid w:val="00DF6988"/>
    <w:rsid w:val="00E00846"/>
    <w:rsid w:val="00E00FC3"/>
    <w:rsid w:val="00E024F7"/>
    <w:rsid w:val="00E064BC"/>
    <w:rsid w:val="00E077C6"/>
    <w:rsid w:val="00E12FA1"/>
    <w:rsid w:val="00E16DDA"/>
    <w:rsid w:val="00E21B57"/>
    <w:rsid w:val="00E2446A"/>
    <w:rsid w:val="00E24531"/>
    <w:rsid w:val="00E27522"/>
    <w:rsid w:val="00E31FCC"/>
    <w:rsid w:val="00E353BA"/>
    <w:rsid w:val="00E36A8C"/>
    <w:rsid w:val="00E4637D"/>
    <w:rsid w:val="00E51D16"/>
    <w:rsid w:val="00E57DB2"/>
    <w:rsid w:val="00E57F23"/>
    <w:rsid w:val="00E628A8"/>
    <w:rsid w:val="00E662C0"/>
    <w:rsid w:val="00E70A92"/>
    <w:rsid w:val="00E70D97"/>
    <w:rsid w:val="00E72CB1"/>
    <w:rsid w:val="00E80578"/>
    <w:rsid w:val="00E816E4"/>
    <w:rsid w:val="00E83133"/>
    <w:rsid w:val="00E842B7"/>
    <w:rsid w:val="00E968FC"/>
    <w:rsid w:val="00EA3FC9"/>
    <w:rsid w:val="00EA4CC8"/>
    <w:rsid w:val="00EA4CE9"/>
    <w:rsid w:val="00EA738B"/>
    <w:rsid w:val="00EB00E4"/>
    <w:rsid w:val="00EB0CB0"/>
    <w:rsid w:val="00EB3216"/>
    <w:rsid w:val="00EB3C60"/>
    <w:rsid w:val="00EB3C78"/>
    <w:rsid w:val="00EB6A01"/>
    <w:rsid w:val="00EB7941"/>
    <w:rsid w:val="00EC1B47"/>
    <w:rsid w:val="00EC4435"/>
    <w:rsid w:val="00EC4A7D"/>
    <w:rsid w:val="00EC606F"/>
    <w:rsid w:val="00ED6B22"/>
    <w:rsid w:val="00EE438B"/>
    <w:rsid w:val="00EE69BE"/>
    <w:rsid w:val="00EF7D27"/>
    <w:rsid w:val="00F0077F"/>
    <w:rsid w:val="00F0609D"/>
    <w:rsid w:val="00F06E2D"/>
    <w:rsid w:val="00F078A4"/>
    <w:rsid w:val="00F15A78"/>
    <w:rsid w:val="00F336DA"/>
    <w:rsid w:val="00F33772"/>
    <w:rsid w:val="00F34303"/>
    <w:rsid w:val="00F350A6"/>
    <w:rsid w:val="00F35ABB"/>
    <w:rsid w:val="00F37F09"/>
    <w:rsid w:val="00F40CEA"/>
    <w:rsid w:val="00F47406"/>
    <w:rsid w:val="00F54207"/>
    <w:rsid w:val="00F55852"/>
    <w:rsid w:val="00F602A5"/>
    <w:rsid w:val="00F602B4"/>
    <w:rsid w:val="00F63066"/>
    <w:rsid w:val="00F631FA"/>
    <w:rsid w:val="00F649AA"/>
    <w:rsid w:val="00F64F02"/>
    <w:rsid w:val="00F65069"/>
    <w:rsid w:val="00F70EDD"/>
    <w:rsid w:val="00F85A6D"/>
    <w:rsid w:val="00F86C3E"/>
    <w:rsid w:val="00F92C89"/>
    <w:rsid w:val="00F97CA1"/>
    <w:rsid w:val="00FA653A"/>
    <w:rsid w:val="00FB5A8E"/>
    <w:rsid w:val="00FC2B70"/>
    <w:rsid w:val="00FC52DE"/>
    <w:rsid w:val="00FC72A3"/>
    <w:rsid w:val="00FD1E58"/>
    <w:rsid w:val="00FD35E9"/>
    <w:rsid w:val="00FD3D00"/>
    <w:rsid w:val="00FE1910"/>
    <w:rsid w:val="00FE7F8A"/>
    <w:rsid w:val="00FF2520"/>
    <w:rsid w:val="00FF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link w:val="Heading3Char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uppressAutoHyphens/>
      <w:spacing w:before="60" w:after="120"/>
      <w:jc w:val="both"/>
    </w:p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basedOn w:val="DefaultParagraphFont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1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3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2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4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5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6"/>
      </w:numPr>
      <w:tabs>
        <w:tab w:val="clear" w:pos="360"/>
      </w:tabs>
      <w:ind w:left="601" w:hanging="198"/>
    </w:pPr>
    <w:rPr>
      <w:sz w:val="18"/>
      <w:lang w:eastAsia="en-US"/>
    </w:rPr>
  </w:style>
  <w:style w:type="paragraph" w:customStyle="1" w:styleId="bullet-list-1">
    <w:name w:val="bullet-list-1"/>
    <w:basedOn w:val="Normal"/>
    <w:rsid w:val="0021454B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bullet-list">
    <w:name w:val="bullet-list"/>
    <w:basedOn w:val="Normal"/>
    <w:rsid w:val="0021454B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9F112F"/>
    <w:rPr>
      <w:lang w:val="en-GB" w:eastAsia="en-GB" w:bidi="ar-SA"/>
    </w:rPr>
  </w:style>
  <w:style w:type="paragraph" w:styleId="BalloonText">
    <w:name w:val="Balloon Text"/>
    <w:basedOn w:val="Normal"/>
    <w:link w:val="BalloonTextChar"/>
    <w:rsid w:val="00DE2E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E2ED0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B656B9"/>
  </w:style>
  <w:style w:type="character" w:customStyle="1" w:styleId="Heading3Char">
    <w:name w:val="Heading 3 Char"/>
    <w:basedOn w:val="DefaultParagraphFont"/>
    <w:link w:val="Heading3"/>
    <w:rsid w:val="000C7B2C"/>
    <w:rPr>
      <w:rFonts w:ascii="Arial" w:hAnsi="Arial"/>
      <w:b/>
      <w:kern w:val="28"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link w:val="Heading3Char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uppressAutoHyphens/>
      <w:spacing w:before="60" w:after="120"/>
      <w:jc w:val="both"/>
    </w:p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basedOn w:val="DefaultParagraphFont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1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3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2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4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5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6"/>
      </w:numPr>
      <w:tabs>
        <w:tab w:val="clear" w:pos="360"/>
      </w:tabs>
      <w:ind w:left="601" w:hanging="198"/>
    </w:pPr>
    <w:rPr>
      <w:sz w:val="18"/>
      <w:lang w:eastAsia="en-US"/>
    </w:rPr>
  </w:style>
  <w:style w:type="paragraph" w:customStyle="1" w:styleId="bullet-list-1">
    <w:name w:val="bullet-list-1"/>
    <w:basedOn w:val="Normal"/>
    <w:rsid w:val="0021454B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bullet-list">
    <w:name w:val="bullet-list"/>
    <w:basedOn w:val="Normal"/>
    <w:rsid w:val="0021454B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9F112F"/>
    <w:rPr>
      <w:lang w:val="en-GB" w:eastAsia="en-GB" w:bidi="ar-SA"/>
    </w:rPr>
  </w:style>
  <w:style w:type="paragraph" w:styleId="BalloonText">
    <w:name w:val="Balloon Text"/>
    <w:basedOn w:val="Normal"/>
    <w:link w:val="BalloonTextChar"/>
    <w:rsid w:val="00DE2E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E2ED0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B656B9"/>
  </w:style>
  <w:style w:type="character" w:customStyle="1" w:styleId="Heading3Char">
    <w:name w:val="Heading 3 Char"/>
    <w:basedOn w:val="DefaultParagraphFont"/>
    <w:link w:val="Heading3"/>
    <w:rsid w:val="000C7B2C"/>
    <w:rPr>
      <w:rFonts w:ascii="Arial" w:hAnsi="Arial"/>
      <w:b/>
      <w:kern w:val="28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7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33B84-A9C6-42C6-99C4-6F3A065EA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2002.dot</Template>
  <TotalTime>9</TotalTime>
  <Pages>6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Service Pack Note</vt:lpstr>
    </vt:vector>
  </TitlesOfParts>
  <Manager>AJU</Manager>
  <Company>TIS Software Ltd</Company>
  <LinksUpToDate>false</LinksUpToDate>
  <CharactersWithSpaces>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Update to General Ledger Management Reports Dialogue</dc:subject>
  <dc:creator>DCP</dc:creator>
  <cp:keywords>1.0</cp:keywords>
  <dc:description>This service pack updates the dialogue used to produce management reports.</dc:description>
  <cp:lastModifiedBy>Penfold, Dan</cp:lastModifiedBy>
  <cp:revision>4</cp:revision>
  <cp:lastPrinted>2002-03-05T14:24:00Z</cp:lastPrinted>
  <dcterms:created xsi:type="dcterms:W3CDTF">2013-11-14T16:32:00Z</dcterms:created>
  <dcterms:modified xsi:type="dcterms:W3CDTF">2013-11-15T12:17:00Z</dcterms:modified>
</cp:coreProperties>
</file>