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5074A4">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046F05">
      <w:pPr>
        <w:pStyle w:val="Title"/>
      </w:pPr>
      <w:r>
        <w:t>Service Pack Note</w:t>
      </w:r>
    </w:p>
    <w:p w:rsidR="00E842B7" w:rsidRPr="008E645B" w:rsidRDefault="00E842B7"/>
    <w:p w:rsidR="00E842B7" w:rsidRPr="008E645B" w:rsidRDefault="00E842B7"/>
    <w:p w:rsidR="00E842B7" w:rsidRPr="008E645B" w:rsidRDefault="005074A4">
      <w:pPr>
        <w:pStyle w:val="Title"/>
      </w:pPr>
      <w:r>
        <w:fldChar w:fldCharType="begin"/>
      </w:r>
      <w:r>
        <w:instrText xml:space="preserve"> SUBJECT  \* MERGEFORMAT </w:instrText>
      </w:r>
      <w:r>
        <w:fldChar w:fldCharType="separate"/>
      </w:r>
      <w:r w:rsidR="00416B3D">
        <w:t>Debtors Ledger and Creditors Ledger - Purge Options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416B3D">
        <w:rPr>
          <w:rFonts w:ascii="CG Omega" w:hAnsi="CG Omega"/>
          <w:sz w:val="24"/>
        </w:rPr>
        <w:t>This service pack improves the purge settings within Debtors Ledger and Creditors Ledger.</w:t>
      </w:r>
      <w:r w:rsidRPr="008E645B">
        <w:rPr>
          <w:rFonts w:ascii="CG Omega" w:hAnsi="CG Omega"/>
          <w:sz w:val="24"/>
        </w:rPr>
        <w:fldChar w:fldCharType="end"/>
      </w: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381341" w:rsidRDefault="002B78E9" w:rsidP="00736EED">
            <w:pPr>
              <w:pStyle w:val="BodyText"/>
              <w:rPr>
                <w:rFonts w:ascii="CG Omega" w:hAnsi="CG Omega"/>
                <w:sz w:val="24"/>
              </w:rPr>
            </w:pPr>
            <w:r>
              <w:rPr>
                <w:rFonts w:ascii="CG Omega" w:hAnsi="CG Omega"/>
                <w:sz w:val="24"/>
              </w:rPr>
              <w:t xml:space="preserve">The </w:t>
            </w:r>
            <w:r w:rsidR="008147EA">
              <w:rPr>
                <w:rFonts w:ascii="CG Omega" w:hAnsi="CG Omega"/>
                <w:sz w:val="24"/>
              </w:rPr>
              <w:t xml:space="preserve">service packs address the </w:t>
            </w:r>
            <w:r>
              <w:rPr>
                <w:rFonts w:ascii="CG Omega" w:hAnsi="CG Omega"/>
                <w:sz w:val="24"/>
              </w:rPr>
              <w:t>following issues with the purge settings and process</w:t>
            </w:r>
            <w:r w:rsidR="008147EA">
              <w:rPr>
                <w:rFonts w:ascii="CG Omega" w:hAnsi="CG Omega"/>
                <w:sz w:val="24"/>
              </w:rPr>
              <w:t>ing</w:t>
            </w:r>
            <w:r>
              <w:rPr>
                <w:rFonts w:ascii="CG Omega" w:hAnsi="CG Omega"/>
                <w:sz w:val="24"/>
              </w:rPr>
              <w:t xml:space="preserve"> within D</w:t>
            </w:r>
            <w:r w:rsidR="008147EA">
              <w:rPr>
                <w:rFonts w:ascii="CG Omega" w:hAnsi="CG Omega"/>
                <w:sz w:val="24"/>
              </w:rPr>
              <w:t xml:space="preserve">ebtors </w:t>
            </w:r>
            <w:r>
              <w:rPr>
                <w:rFonts w:ascii="CG Omega" w:hAnsi="CG Omega"/>
                <w:sz w:val="24"/>
              </w:rPr>
              <w:t>L</w:t>
            </w:r>
            <w:r w:rsidR="008147EA">
              <w:rPr>
                <w:rFonts w:ascii="CG Omega" w:hAnsi="CG Omega"/>
                <w:sz w:val="24"/>
              </w:rPr>
              <w:t>edger</w:t>
            </w:r>
            <w:r>
              <w:rPr>
                <w:rFonts w:ascii="CG Omega" w:hAnsi="CG Omega"/>
                <w:sz w:val="24"/>
              </w:rPr>
              <w:t xml:space="preserve"> and C</w:t>
            </w:r>
            <w:r w:rsidR="008147EA">
              <w:rPr>
                <w:rFonts w:ascii="CG Omega" w:hAnsi="CG Omega"/>
                <w:sz w:val="24"/>
              </w:rPr>
              <w:t xml:space="preserve">reditors </w:t>
            </w:r>
            <w:r>
              <w:rPr>
                <w:rFonts w:ascii="CG Omega" w:hAnsi="CG Omega"/>
                <w:sz w:val="24"/>
              </w:rPr>
              <w:t>L</w:t>
            </w:r>
            <w:r w:rsidR="008147EA">
              <w:rPr>
                <w:rFonts w:ascii="CG Omega" w:hAnsi="CG Omega"/>
                <w:sz w:val="24"/>
              </w:rPr>
              <w:t>edger</w:t>
            </w:r>
            <w:r>
              <w:rPr>
                <w:rFonts w:ascii="CG Omega" w:hAnsi="CG Omega"/>
                <w:sz w:val="24"/>
              </w:rPr>
              <w:t>.</w:t>
            </w:r>
          </w:p>
          <w:p w:rsidR="002B78E9" w:rsidRDefault="002B78E9" w:rsidP="002B78E9">
            <w:pPr>
              <w:pStyle w:val="BodyText"/>
              <w:numPr>
                <w:ilvl w:val="0"/>
                <w:numId w:val="17"/>
              </w:numPr>
              <w:rPr>
                <w:rFonts w:ascii="CG Omega" w:hAnsi="CG Omega"/>
                <w:sz w:val="24"/>
              </w:rPr>
            </w:pPr>
            <w:r>
              <w:rPr>
                <w:rFonts w:ascii="CG Omega" w:hAnsi="CG Omega"/>
                <w:sz w:val="24"/>
              </w:rPr>
              <w:t>It is not possible to archive transactions unless the purge option is selected.</w:t>
            </w:r>
          </w:p>
          <w:p w:rsidR="002B78E9" w:rsidRDefault="002B78E9" w:rsidP="002B78E9">
            <w:pPr>
              <w:pStyle w:val="BodyText"/>
              <w:numPr>
                <w:ilvl w:val="0"/>
                <w:numId w:val="17"/>
              </w:numPr>
              <w:rPr>
                <w:rFonts w:ascii="CG Omega" w:hAnsi="CG Omega"/>
                <w:sz w:val="24"/>
              </w:rPr>
            </w:pPr>
            <w:r>
              <w:rPr>
                <w:rFonts w:ascii="CG Omega" w:hAnsi="CG Omega"/>
                <w:sz w:val="24"/>
              </w:rPr>
              <w:t>There is no option to switch off transaction purging.</w:t>
            </w:r>
          </w:p>
          <w:p w:rsidR="002B78E9" w:rsidRDefault="002B78E9" w:rsidP="002B78E9">
            <w:pPr>
              <w:pStyle w:val="BodyText"/>
              <w:numPr>
                <w:ilvl w:val="0"/>
                <w:numId w:val="17"/>
              </w:numPr>
              <w:rPr>
                <w:rFonts w:ascii="CG Omega" w:hAnsi="CG Omega"/>
                <w:sz w:val="24"/>
              </w:rPr>
            </w:pPr>
            <w:r>
              <w:rPr>
                <w:rFonts w:ascii="CG Omega" w:hAnsi="CG Omega"/>
                <w:sz w:val="24"/>
              </w:rPr>
              <w:t>The number of periods of history that can be kept is limited to 99.</w:t>
            </w:r>
          </w:p>
        </w:tc>
      </w:tr>
      <w:tr w:rsidR="002B78E9" w:rsidRPr="008E645B">
        <w:trPr>
          <w:trHeight w:val="240"/>
        </w:trPr>
        <w:tc>
          <w:tcPr>
            <w:tcW w:w="10173" w:type="dxa"/>
          </w:tcPr>
          <w:p w:rsidR="002B78E9" w:rsidRDefault="002B78E9" w:rsidP="002B78E9">
            <w:pPr>
              <w:pStyle w:val="BodyText"/>
              <w:rPr>
                <w:rFonts w:ascii="CG Omega" w:hAnsi="CG Omega"/>
                <w:sz w:val="24"/>
              </w:rPr>
            </w:pPr>
            <w:r>
              <w:rPr>
                <w:rFonts w:ascii="CG Omega" w:hAnsi="CG Omega"/>
                <w:sz w:val="24"/>
              </w:rPr>
              <w:t xml:space="preserve">The changes </w:t>
            </w:r>
            <w:r w:rsidR="008147EA">
              <w:rPr>
                <w:rFonts w:ascii="CG Omega" w:hAnsi="CG Omega"/>
                <w:sz w:val="24"/>
              </w:rPr>
              <w:t>have been made</w:t>
            </w:r>
            <w:r w:rsidR="004D21B1">
              <w:rPr>
                <w:rFonts w:ascii="CG Omega" w:hAnsi="CG Omega"/>
                <w:sz w:val="24"/>
              </w:rPr>
              <w:t xml:space="preserve"> to both Debtors Ledger and Creditors Ledger.</w:t>
            </w:r>
          </w:p>
          <w:p w:rsidR="002B78E9" w:rsidRDefault="002B78E9" w:rsidP="002B78E9">
            <w:pPr>
              <w:pStyle w:val="BodyText"/>
              <w:rPr>
                <w:rFonts w:ascii="CG Omega" w:hAnsi="CG Omega"/>
                <w:sz w:val="24"/>
              </w:rPr>
            </w:pPr>
            <w:r>
              <w:rPr>
                <w:rFonts w:ascii="CG Omega" w:hAnsi="CG Omega"/>
                <w:sz w:val="24"/>
              </w:rPr>
              <w:t xml:space="preserve">Close period </w:t>
            </w:r>
            <w:r w:rsidR="008147EA">
              <w:rPr>
                <w:rFonts w:ascii="CG Omega" w:hAnsi="CG Omega"/>
                <w:sz w:val="24"/>
              </w:rPr>
              <w:t>has been</w:t>
            </w:r>
            <w:r>
              <w:rPr>
                <w:rFonts w:ascii="CG Omega" w:hAnsi="CG Omega"/>
                <w:sz w:val="24"/>
              </w:rPr>
              <w:t xml:space="preserve"> updated to </w:t>
            </w:r>
            <w:r w:rsidR="000B4672">
              <w:rPr>
                <w:rFonts w:ascii="CG Omega" w:hAnsi="CG Omega"/>
                <w:sz w:val="24"/>
              </w:rPr>
              <w:t xml:space="preserve">automatically archive all completed transactions. </w:t>
            </w:r>
          </w:p>
          <w:p w:rsidR="002B78E9" w:rsidRDefault="00617F3D" w:rsidP="00EA7A97">
            <w:pPr>
              <w:pStyle w:val="BodyText"/>
              <w:rPr>
                <w:rFonts w:ascii="CG Omega" w:hAnsi="CG Omega"/>
                <w:sz w:val="24"/>
              </w:rPr>
            </w:pPr>
            <w:r>
              <w:rPr>
                <w:rFonts w:ascii="CG Omega" w:hAnsi="CG Omega"/>
                <w:sz w:val="24"/>
              </w:rPr>
              <w:t>A new system parameter has been</w:t>
            </w:r>
            <w:r w:rsidR="002B78E9">
              <w:rPr>
                <w:rFonts w:ascii="CG Omega" w:hAnsi="CG Omega"/>
                <w:sz w:val="24"/>
              </w:rPr>
              <w:t xml:space="preserve"> added to the </w:t>
            </w:r>
            <w:r w:rsidR="00EA7A97">
              <w:rPr>
                <w:rFonts w:ascii="CG Omega" w:hAnsi="CG Omega"/>
                <w:sz w:val="24"/>
              </w:rPr>
              <w:t>history</w:t>
            </w:r>
            <w:r w:rsidR="002B78E9">
              <w:rPr>
                <w:rFonts w:ascii="CG Omega" w:hAnsi="CG Omega"/>
                <w:sz w:val="24"/>
              </w:rPr>
              <w:t xml:space="preserve"> options section of the </w:t>
            </w:r>
            <w:r w:rsidR="00EA7A97">
              <w:rPr>
                <w:rFonts w:ascii="CG Omega" w:hAnsi="CG Omega"/>
                <w:sz w:val="24"/>
              </w:rPr>
              <w:t>Debtors Ledger</w:t>
            </w:r>
            <w:r w:rsidR="002B78E9">
              <w:rPr>
                <w:rFonts w:ascii="CG Omega" w:hAnsi="CG Omega"/>
                <w:sz w:val="24"/>
              </w:rPr>
              <w:t xml:space="preserve"> </w:t>
            </w:r>
            <w:r w:rsidR="00EA7A97">
              <w:rPr>
                <w:rFonts w:ascii="CG Omega" w:hAnsi="CG Omega"/>
                <w:sz w:val="24"/>
              </w:rPr>
              <w:t>and Creditors Ledger system parameters</w:t>
            </w:r>
            <w:r w:rsidR="002B78E9">
              <w:rPr>
                <w:rFonts w:ascii="CG Omega" w:hAnsi="CG Omega"/>
                <w:sz w:val="24"/>
              </w:rPr>
              <w:t>.  The new parameter</w:t>
            </w:r>
            <w:r w:rsidR="00EA7A97">
              <w:rPr>
                <w:rFonts w:ascii="CG Omega" w:hAnsi="CG Omega"/>
                <w:sz w:val="24"/>
              </w:rPr>
              <w:t>s</w:t>
            </w:r>
            <w:r w:rsidR="002B78E9">
              <w:rPr>
                <w:rFonts w:ascii="CG Omega" w:hAnsi="CG Omega"/>
                <w:sz w:val="24"/>
              </w:rPr>
              <w:t xml:space="preserve"> </w:t>
            </w:r>
            <w:r w:rsidR="00EA7A97">
              <w:rPr>
                <w:rFonts w:ascii="CG Omega" w:hAnsi="CG Omega"/>
                <w:sz w:val="24"/>
              </w:rPr>
              <w:t xml:space="preserve">(which are company dependent) </w:t>
            </w:r>
            <w:r w:rsidR="002B78E9">
              <w:rPr>
                <w:rFonts w:ascii="CG Omega" w:hAnsi="CG Omega"/>
                <w:sz w:val="24"/>
              </w:rPr>
              <w:t xml:space="preserve">control whether </w:t>
            </w:r>
            <w:r w:rsidR="00EA7A97">
              <w:rPr>
                <w:rFonts w:ascii="CG Omega" w:hAnsi="CG Omega"/>
                <w:sz w:val="24"/>
              </w:rPr>
              <w:t>transactions are purged either via the purge function or during the closure of a period.</w:t>
            </w:r>
          </w:p>
          <w:p w:rsidR="00EA7A97" w:rsidRPr="009D3C3D" w:rsidRDefault="009D3C3D" w:rsidP="00617F3D">
            <w:pPr>
              <w:pStyle w:val="BodyText"/>
              <w:rPr>
                <w:rFonts w:ascii="CG Omega" w:hAnsi="CG Omega"/>
                <w:sz w:val="24"/>
                <w:szCs w:val="24"/>
              </w:rPr>
            </w:pPr>
            <w:r w:rsidRPr="009D3C3D">
              <w:rPr>
                <w:rFonts w:ascii="CG Omega" w:hAnsi="CG Omega"/>
                <w:sz w:val="24"/>
                <w:szCs w:val="24"/>
              </w:rPr>
              <w:t xml:space="preserve">All system settings that control the length of time that transaction history is retained </w:t>
            </w:r>
            <w:r w:rsidR="00617F3D">
              <w:rPr>
                <w:rFonts w:ascii="CG Omega" w:hAnsi="CG Omega"/>
                <w:sz w:val="24"/>
                <w:szCs w:val="24"/>
              </w:rPr>
              <w:t>have b</w:t>
            </w:r>
            <w:r>
              <w:rPr>
                <w:rFonts w:ascii="CG Omega" w:hAnsi="CG Omega"/>
                <w:sz w:val="24"/>
                <w:szCs w:val="24"/>
              </w:rPr>
              <w:t>e</w:t>
            </w:r>
            <w:r w:rsidR="00617F3D">
              <w:rPr>
                <w:rFonts w:ascii="CG Omega" w:hAnsi="CG Omega"/>
                <w:sz w:val="24"/>
                <w:szCs w:val="24"/>
              </w:rPr>
              <w:t>en</w:t>
            </w:r>
            <w:r w:rsidRPr="009D3C3D">
              <w:rPr>
                <w:rFonts w:ascii="CG Omega" w:hAnsi="CG Omega"/>
                <w:sz w:val="24"/>
                <w:szCs w:val="24"/>
              </w:rPr>
              <w:t xml:space="preserve"> changed from holding a number of financial periods to holding a number of financial years. The current settings will be automatically converted from periods to years and rounded up to a whole number of years as part of the process.</w:t>
            </w:r>
          </w:p>
        </w:tc>
      </w:tr>
      <w:tr w:rsidR="0036727E" w:rsidRPr="008E645B">
        <w:trPr>
          <w:trHeight w:val="240"/>
        </w:trPr>
        <w:tc>
          <w:tcPr>
            <w:tcW w:w="10173" w:type="dxa"/>
          </w:tcPr>
          <w:p w:rsidR="0036727E" w:rsidRDefault="0036727E" w:rsidP="002B78E9">
            <w:pPr>
              <w:pStyle w:val="BodyText"/>
              <w:rPr>
                <w:rFonts w:ascii="CG Omega" w:hAnsi="CG Omega"/>
                <w:sz w:val="24"/>
              </w:rPr>
            </w:pPr>
            <w:r>
              <w:rPr>
                <w:rFonts w:ascii="CG Omega" w:hAnsi="CG Omega"/>
                <w:sz w:val="24"/>
              </w:rPr>
              <w:t>Warning: The purge settings are automatically converted from a number of periods to a number of years the first time a Debtors Ledger or Creditors Ledger program is run after the service packs are applied. Because the conversion process requires a degree of rounding you must check that the updated settings continue to meet your business requirements.</w:t>
            </w:r>
          </w:p>
        </w:tc>
      </w:tr>
    </w:tbl>
    <w:p w:rsidR="00E3132E" w:rsidRDefault="00E3132E">
      <w:pPr>
        <w:rPr>
          <w:rFonts w:ascii="Arial" w:hAnsi="Arial"/>
          <w:b/>
          <w:sz w:val="22"/>
        </w:rPr>
      </w:pP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1F682C" w:rsidRDefault="00010EFC" w:rsidP="001F682C">
      <w:pPr>
        <w:pStyle w:val="Heading3"/>
        <w:ind w:left="0"/>
      </w:pPr>
      <w:r>
        <w:t>DL System Parameters</w:t>
      </w:r>
      <w:r w:rsidR="001F682C">
        <w:t xml:space="preserve"> </w:t>
      </w:r>
      <w:r w:rsidR="00B33624">
        <w:t>–</w:t>
      </w:r>
      <w:r w:rsidR="001F682C">
        <w:t xml:space="preserve"> </w:t>
      </w:r>
      <w:r>
        <w:t>History Options</w:t>
      </w:r>
      <w:r w:rsidR="00D5547F">
        <w:t xml:space="preserve"> </w:t>
      </w:r>
      <w:r w:rsidR="001F682C">
        <w:t>Window</w:t>
      </w:r>
    </w:p>
    <w:p w:rsidR="001F682C" w:rsidRDefault="001132C4" w:rsidP="001F682C">
      <w:pPr>
        <w:rPr>
          <w:i/>
          <w:iCs/>
        </w:rPr>
      </w:pPr>
      <w:r>
        <w:rPr>
          <w:i/>
          <w:iCs/>
        </w:rPr>
        <w:t xml:space="preserve"> </w:t>
      </w:r>
      <w:r w:rsidR="003A2166">
        <w:rPr>
          <w:noProof/>
        </w:rPr>
        <w:pict>
          <v:shape id="Picture 1" o:spid="_x0000_i1025" type="#_x0000_t75" style="width:468pt;height:321.75pt;visibility:visible;mso-wrap-style:square">
            <v:imagedata r:id="rId10" o:title=""/>
          </v:shape>
        </w:pict>
      </w:r>
    </w:p>
    <w:p w:rsidR="001F682C" w:rsidRDefault="001F682C" w:rsidP="001F682C">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6"/>
      </w:tblGrid>
      <w:tr w:rsidR="00937C28" w:rsidTr="00937C28">
        <w:trPr>
          <w:cantSplit/>
        </w:trPr>
        <w:tc>
          <w:tcPr>
            <w:tcW w:w="2269" w:type="dxa"/>
          </w:tcPr>
          <w:p w:rsidR="00937C28" w:rsidRDefault="00937C28" w:rsidP="00A50C3C">
            <w:pPr>
              <w:pStyle w:val="Window"/>
              <w:rPr>
                <w:lang w:val="en-GB"/>
              </w:rPr>
            </w:pPr>
          </w:p>
        </w:tc>
        <w:tc>
          <w:tcPr>
            <w:tcW w:w="6946" w:type="dxa"/>
          </w:tcPr>
          <w:p w:rsidR="00937C28" w:rsidRDefault="00937C28" w:rsidP="00010EFC">
            <w:pPr>
              <w:pStyle w:val="BodyText"/>
            </w:pPr>
            <w:r>
              <w:fldChar w:fldCharType="begin"/>
            </w:r>
            <w:r>
              <w:instrText xml:space="preserve"> XE "Document References Window" </w:instrText>
            </w:r>
            <w:r>
              <w:fldChar w:fldCharType="end"/>
            </w:r>
            <w:r>
              <w:t xml:space="preserve">This window appears when you </w:t>
            </w:r>
            <w:r w:rsidR="00010EFC">
              <w:t>select the History option from the Debtors Ledger system parameters menu.</w:t>
            </w:r>
          </w:p>
        </w:tc>
      </w:tr>
      <w:tr w:rsidR="00CF131F" w:rsidTr="00937C28">
        <w:trPr>
          <w:cantSplit/>
        </w:trPr>
        <w:tc>
          <w:tcPr>
            <w:tcW w:w="2269" w:type="dxa"/>
          </w:tcPr>
          <w:p w:rsidR="00CF131F" w:rsidRDefault="00CF131F" w:rsidP="00A50C3C">
            <w:pPr>
              <w:pStyle w:val="Subheading"/>
            </w:pPr>
            <w:r>
              <w:t>Purpose</w:t>
            </w:r>
          </w:p>
        </w:tc>
        <w:tc>
          <w:tcPr>
            <w:tcW w:w="6946" w:type="dxa"/>
          </w:tcPr>
          <w:p w:rsidR="00CF131F" w:rsidRDefault="00CF131F" w:rsidP="006D0A65">
            <w:pPr>
              <w:pStyle w:val="BodyText"/>
            </w:pPr>
            <w:r>
              <w:t>The parameter</w:t>
            </w:r>
            <w:r w:rsidR="007522D4">
              <w:t>s</w:t>
            </w:r>
            <w:r>
              <w:t xml:space="preserve"> in this window control the extent of transaction history held in Debtors Ledger. Transaction history is used when reprinting reports and is available when enquiring on customer accounts. The window also shows how much transaction history is currently present on your system and identifies the earliest </w:t>
            </w:r>
            <w:r w:rsidR="006D0A65">
              <w:t>audit report</w:t>
            </w:r>
            <w:r>
              <w:t xml:space="preserve"> that can be reprinted fully.</w:t>
            </w:r>
          </w:p>
        </w:tc>
      </w:tr>
      <w:tr w:rsidR="00CF131F" w:rsidTr="00937C28">
        <w:trPr>
          <w:cantSplit/>
        </w:trPr>
        <w:tc>
          <w:tcPr>
            <w:tcW w:w="2269" w:type="dxa"/>
          </w:tcPr>
          <w:p w:rsidR="00CF131F" w:rsidRDefault="00CF131F" w:rsidP="00A50C3C">
            <w:pPr>
              <w:pStyle w:val="Window"/>
              <w:rPr>
                <w:lang w:val="en-GB"/>
              </w:rPr>
            </w:pPr>
            <w:r>
              <w:rPr>
                <w:lang w:val="en-GB"/>
              </w:rPr>
              <w:fldChar w:fldCharType="begin"/>
            </w:r>
            <w:r>
              <w:rPr>
                <w:lang w:val="en-GB"/>
              </w:rPr>
              <w:instrText xml:space="preserve"> XE "open item accounting" </w:instrText>
            </w:r>
            <w:r>
              <w:rPr>
                <w:lang w:val="en-GB"/>
              </w:rPr>
              <w:fldChar w:fldCharType="end"/>
            </w:r>
          </w:p>
        </w:tc>
        <w:tc>
          <w:tcPr>
            <w:tcW w:w="6946" w:type="dxa"/>
          </w:tcPr>
          <w:p w:rsidR="00CF131F" w:rsidRDefault="00CF131F" w:rsidP="00A50C3C">
            <w:pPr>
              <w:pStyle w:val="BodyText"/>
            </w:pPr>
            <w:r>
              <w:t xml:space="preserve">For customers with open item accounts, posted transactions with an outstanding balance of zero, are eligible for purging or archiving as soon as the period they relate to is closed. </w:t>
            </w:r>
          </w:p>
        </w:tc>
      </w:tr>
      <w:tr w:rsidR="00CF131F" w:rsidTr="00CF131F">
        <w:trPr>
          <w:cantSplit/>
        </w:trPr>
        <w:tc>
          <w:tcPr>
            <w:tcW w:w="2269" w:type="dxa"/>
          </w:tcPr>
          <w:p w:rsidR="00CF131F" w:rsidRDefault="00CF131F" w:rsidP="00A50C3C">
            <w:pPr>
              <w:pStyle w:val="Window"/>
              <w:rPr>
                <w:lang w:val="en-GB"/>
              </w:rPr>
            </w:pPr>
            <w:r>
              <w:rPr>
                <w:lang w:val="en-GB"/>
              </w:rPr>
              <w:fldChar w:fldCharType="begin"/>
            </w:r>
            <w:r>
              <w:rPr>
                <w:lang w:val="en-GB"/>
              </w:rPr>
              <w:instrText xml:space="preserve"> XE "balance forward accounting" </w:instrText>
            </w:r>
            <w:r>
              <w:rPr>
                <w:lang w:val="en-GB"/>
              </w:rPr>
              <w:fldChar w:fldCharType="end"/>
            </w:r>
          </w:p>
        </w:tc>
        <w:tc>
          <w:tcPr>
            <w:tcW w:w="6946" w:type="dxa"/>
          </w:tcPr>
          <w:p w:rsidR="00CF131F" w:rsidRDefault="00CF131F" w:rsidP="007522D4">
            <w:pPr>
              <w:pStyle w:val="BodyText"/>
            </w:pPr>
            <w:r>
              <w:t>For customers with balance forward accounts, posted transactions are cleared by the Close Period program as it creates consolidated balance forward transactions.. To retain transaction history but still provide a brought forward balance on customer statements, set the account type to “As Balance Forward” in customer maintenance. This preserves the account’s transaction history and works out a brought forward balance whenever a statement is printed for the account.</w:t>
            </w:r>
          </w:p>
        </w:tc>
      </w:tr>
      <w:tr w:rsidR="00CF131F" w:rsidTr="00CF131F">
        <w:trPr>
          <w:cantSplit/>
        </w:trPr>
        <w:tc>
          <w:tcPr>
            <w:tcW w:w="2269" w:type="dxa"/>
          </w:tcPr>
          <w:p w:rsidR="00CF131F" w:rsidRPr="00CF131F" w:rsidRDefault="00CF131F" w:rsidP="00A50C3C">
            <w:pPr>
              <w:pStyle w:val="Window"/>
              <w:rPr>
                <w:b/>
                <w:lang w:val="en-GB"/>
              </w:rPr>
            </w:pPr>
            <w:r w:rsidRPr="00CF131F">
              <w:rPr>
                <w:b/>
                <w:lang w:val="en-GB"/>
              </w:rPr>
              <w:t>Note</w:t>
            </w:r>
          </w:p>
        </w:tc>
        <w:tc>
          <w:tcPr>
            <w:tcW w:w="6946" w:type="dxa"/>
            <w:shd w:val="pct12" w:color="auto" w:fill="auto"/>
          </w:tcPr>
          <w:p w:rsidR="00CF131F" w:rsidRDefault="00CF131F" w:rsidP="00A50C3C">
            <w:pPr>
              <w:pStyle w:val="BodyText"/>
            </w:pPr>
            <w:r>
              <w:t>The information in this window applies only to the company displayed in the window’s title bar. You need to set the parameter for each company in turn. To change company, return to the Debtors Ledger Parameters Menu, and choose the Reselect Company option.</w:t>
            </w:r>
          </w:p>
        </w:tc>
      </w:tr>
    </w:tbl>
    <w:p w:rsidR="00937C28" w:rsidRDefault="00937C28" w:rsidP="00937C28">
      <w:pPr>
        <w:pStyle w:val="Subheading3"/>
      </w:pPr>
      <w:r>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937C28" w:rsidTr="006B5A3E">
        <w:trPr>
          <w:cantSplit/>
        </w:trPr>
        <w:tc>
          <w:tcPr>
            <w:tcW w:w="2268" w:type="dxa"/>
          </w:tcPr>
          <w:p w:rsidR="00937C28" w:rsidRDefault="0086020F" w:rsidP="00CA2CE2">
            <w:pPr>
              <w:pStyle w:val="Subheading"/>
            </w:pPr>
            <w:r>
              <w:t>Do you wish to purge archived transaction</w:t>
            </w:r>
            <w:r w:rsidR="00CA2CE2">
              <w:t xml:space="preserve"> history</w:t>
            </w:r>
            <w:r>
              <w:t xml:space="preserve"> after a specified number of years?</w:t>
            </w:r>
          </w:p>
        </w:tc>
        <w:tc>
          <w:tcPr>
            <w:tcW w:w="6946" w:type="dxa"/>
          </w:tcPr>
          <w:p w:rsidR="00937C28" w:rsidRDefault="007453D0" w:rsidP="007453D0">
            <w:pPr>
              <w:pStyle w:val="BodyText"/>
            </w:pPr>
            <w:r>
              <w:t xml:space="preserve">When this is set transaction purge processing (available via the purge option in close period or the transaction purge function) is enabled and </w:t>
            </w:r>
            <w:r w:rsidR="009E71AD">
              <w:t xml:space="preserve">archived transactions are retained for the number of years specified below after which they are deleted. When this is not set completed transactions are automatically archived during close period and are retained indefinitely. </w:t>
            </w:r>
            <w:r>
              <w:t xml:space="preserve"> </w:t>
            </w:r>
          </w:p>
        </w:tc>
      </w:tr>
      <w:tr w:rsidR="006B5A3E" w:rsidTr="006B5A3E">
        <w:trPr>
          <w:cantSplit/>
        </w:trPr>
        <w:tc>
          <w:tcPr>
            <w:tcW w:w="2268" w:type="dxa"/>
          </w:tcPr>
          <w:p w:rsidR="006B5A3E" w:rsidRPr="006B5A3E" w:rsidRDefault="006B5A3E" w:rsidP="00A50C3C">
            <w:pPr>
              <w:pStyle w:val="Subheading"/>
              <w:rPr>
                <w:i/>
              </w:rPr>
            </w:pPr>
            <w:r w:rsidRPr="006B5A3E">
              <w:rPr>
                <w:i/>
              </w:rPr>
              <w:t>Note</w:t>
            </w:r>
          </w:p>
        </w:tc>
        <w:tc>
          <w:tcPr>
            <w:tcW w:w="6946" w:type="dxa"/>
            <w:shd w:val="pct12" w:color="auto" w:fill="auto"/>
          </w:tcPr>
          <w:p w:rsidR="006B5A3E" w:rsidRDefault="006B5A3E" w:rsidP="00A50C3C">
            <w:pPr>
              <w:pStyle w:val="BodyText"/>
            </w:pPr>
            <w:r>
              <w:t>Transactions that are fully complete are automatically archived by close period.</w:t>
            </w:r>
          </w:p>
        </w:tc>
      </w:tr>
      <w:tr w:rsidR="007522D4" w:rsidTr="006B5A3E">
        <w:trPr>
          <w:cantSplit/>
        </w:trPr>
        <w:tc>
          <w:tcPr>
            <w:tcW w:w="2268" w:type="dxa"/>
          </w:tcPr>
          <w:p w:rsidR="007522D4" w:rsidRDefault="007522D4" w:rsidP="006162B4">
            <w:pPr>
              <w:pStyle w:val="Subheading"/>
            </w:pPr>
            <w:r>
              <w:t xml:space="preserve">How many </w:t>
            </w:r>
            <w:r w:rsidR="006162B4">
              <w:t>years</w:t>
            </w:r>
            <w:r>
              <w:t xml:space="preserve"> of transaction history do you w</w:t>
            </w:r>
            <w:r w:rsidR="006162B4">
              <w:t>ish to keep</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tcPr>
          <w:p w:rsidR="007522D4" w:rsidRDefault="007522D4" w:rsidP="005F344A">
            <w:pPr>
              <w:pStyle w:val="BodyText"/>
            </w:pPr>
            <w:r>
              <w:t xml:space="preserve">Enter the number </w:t>
            </w:r>
            <w:r w:rsidR="006162B4">
              <w:t xml:space="preserve">financial years </w:t>
            </w:r>
            <w:r>
              <w:t>for which transaction history</w:t>
            </w:r>
            <w:r w:rsidR="005F344A">
              <w:t xml:space="preserve"> is to be kept</w:t>
            </w:r>
            <w:r>
              <w:t xml:space="preserve">. Purge Transactions automatically deletes archived transactions after this many </w:t>
            </w:r>
            <w:r w:rsidR="006162B4">
              <w:t>financial years</w:t>
            </w:r>
            <w:r>
              <w:t>.</w:t>
            </w:r>
            <w:r w:rsidR="006162B4">
              <w:t xml:space="preserve"> </w:t>
            </w:r>
            <w:r>
              <w:t xml:space="preserve"> </w:t>
            </w:r>
          </w:p>
        </w:tc>
      </w:tr>
      <w:tr w:rsidR="006162B4" w:rsidTr="006B5A3E">
        <w:trPr>
          <w:cantSplit/>
        </w:trPr>
        <w:tc>
          <w:tcPr>
            <w:tcW w:w="2268" w:type="dxa"/>
          </w:tcPr>
          <w:p w:rsidR="006162B4" w:rsidRDefault="006162B4" w:rsidP="00A50C3C">
            <w:pPr>
              <w:pStyle w:val="Subheading"/>
            </w:pPr>
            <w:r>
              <w:t>Warning</w:t>
            </w:r>
          </w:p>
        </w:tc>
        <w:tc>
          <w:tcPr>
            <w:tcW w:w="6946" w:type="dxa"/>
          </w:tcPr>
          <w:p w:rsidR="006162B4" w:rsidRDefault="006162B4" w:rsidP="00CB6E3A">
            <w:pPr>
              <w:pStyle w:val="BodyText"/>
            </w:pPr>
            <w:r>
              <w:t>The actual number of financial periods transaction history is kept for is calculated by multiplying the above setting by the number of financial period</w:t>
            </w:r>
            <w:r w:rsidR="00CB6E3A">
              <w:t>s</w:t>
            </w:r>
            <w:r>
              <w:t xml:space="preserve"> per year </w:t>
            </w:r>
            <w:r w:rsidR="00CB6E3A">
              <w:t xml:space="preserve">as </w:t>
            </w:r>
            <w:r>
              <w:t>defined in the system</w:t>
            </w:r>
            <w:r w:rsidR="00CB6E3A">
              <w:t>s</w:t>
            </w:r>
            <w:r>
              <w:t xml:space="preserve"> administration parameters.</w:t>
            </w:r>
          </w:p>
        </w:tc>
      </w:tr>
      <w:tr w:rsidR="006B5A3E" w:rsidTr="006B5A3E">
        <w:trPr>
          <w:cantSplit/>
        </w:trPr>
        <w:tc>
          <w:tcPr>
            <w:tcW w:w="2268" w:type="dxa"/>
          </w:tcPr>
          <w:p w:rsidR="006B5A3E" w:rsidRPr="006B5A3E" w:rsidRDefault="006B5A3E" w:rsidP="00A50C3C">
            <w:pPr>
              <w:pStyle w:val="Subheading"/>
              <w:rPr>
                <w:i/>
              </w:rPr>
            </w:pPr>
            <w:r w:rsidRPr="006B5A3E">
              <w:rPr>
                <w:i/>
              </w:rPr>
              <w:t>Note</w:t>
            </w:r>
          </w:p>
        </w:tc>
        <w:tc>
          <w:tcPr>
            <w:tcW w:w="6946" w:type="dxa"/>
            <w:shd w:val="pct12" w:color="auto" w:fill="auto"/>
          </w:tcPr>
          <w:p w:rsidR="006B5A3E" w:rsidRDefault="006B5A3E" w:rsidP="006B5A3E">
            <w:pPr>
              <w:pStyle w:val="BodyText"/>
            </w:pPr>
            <w:r>
              <w:t xml:space="preserve">Adjusting this parameter automatically resets the advanced transaction history settings. </w:t>
            </w:r>
          </w:p>
        </w:tc>
      </w:tr>
    </w:tbl>
    <w:p w:rsidR="00937C28" w:rsidRDefault="00937C28" w:rsidP="00937C28">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937C28" w:rsidTr="00A50C3C">
        <w:trPr>
          <w:cantSplit/>
        </w:trPr>
        <w:tc>
          <w:tcPr>
            <w:tcW w:w="2268" w:type="dxa"/>
          </w:tcPr>
          <w:p w:rsidR="00937C28" w:rsidRDefault="007522D4" w:rsidP="00A50C3C">
            <w:pPr>
              <w:pStyle w:val="Subheading"/>
            </w:pPr>
            <w:r>
              <w:t>Advanced</w:t>
            </w:r>
          </w:p>
        </w:tc>
        <w:tc>
          <w:tcPr>
            <w:tcW w:w="6946" w:type="dxa"/>
          </w:tcPr>
          <w:p w:rsidR="00937C28" w:rsidRDefault="00035A14" w:rsidP="00005EDF">
            <w:pPr>
              <w:pStyle w:val="BodyText"/>
            </w:pPr>
            <w:r w:rsidRPr="00035A14">
              <w:rPr>
                <w:i/>
              </w:rPr>
              <w:t xml:space="preserve">(Only available if transaction history is purged). </w:t>
            </w:r>
            <w:r w:rsidR="00937C28">
              <w:t xml:space="preserve">Press this to </w:t>
            </w:r>
            <w:r w:rsidR="006B5A3E">
              <w:t xml:space="preserve">view and update more advanced transaction </w:t>
            </w:r>
            <w:r w:rsidR="00005EDF">
              <w:t>history</w:t>
            </w:r>
            <w:r w:rsidR="006B5A3E">
              <w:t xml:space="preserve"> settings. </w:t>
            </w:r>
            <w:r w:rsidR="00937C28">
              <w:t xml:space="preserve"> </w:t>
            </w:r>
          </w:p>
        </w:tc>
      </w:tr>
      <w:tr w:rsidR="00937C28" w:rsidTr="00A50C3C">
        <w:trPr>
          <w:cantSplit/>
        </w:trPr>
        <w:tc>
          <w:tcPr>
            <w:tcW w:w="2268" w:type="dxa"/>
          </w:tcPr>
          <w:p w:rsidR="00937C28" w:rsidRDefault="006B5A3E" w:rsidP="00A50C3C">
            <w:pPr>
              <w:pStyle w:val="Subheading"/>
            </w:pPr>
            <w:r>
              <w:t>Close</w:t>
            </w:r>
          </w:p>
        </w:tc>
        <w:tc>
          <w:tcPr>
            <w:tcW w:w="6946" w:type="dxa"/>
          </w:tcPr>
          <w:p w:rsidR="00937C28" w:rsidRDefault="00937C28" w:rsidP="006B5A3E">
            <w:pPr>
              <w:pStyle w:val="BodyText"/>
            </w:pPr>
            <w:r>
              <w:t xml:space="preserve">Press this </w:t>
            </w:r>
            <w:r w:rsidR="006B5A3E">
              <w:t>to save the settings and return to the Debtors Ledger parameters menu.</w:t>
            </w:r>
          </w:p>
        </w:tc>
      </w:tr>
    </w:tbl>
    <w:p w:rsidR="001132C4" w:rsidRDefault="001132C4" w:rsidP="00CB6E3A">
      <w:pPr>
        <w:pStyle w:val="Heading3"/>
        <w:ind w:left="0"/>
        <w:rPr>
          <w:sz w:val="18"/>
          <w:szCs w:val="18"/>
        </w:rPr>
      </w:pPr>
    </w:p>
    <w:p w:rsidR="00B47BAE" w:rsidRDefault="001132C4" w:rsidP="001132C4">
      <w:r>
        <w:br w:type="page"/>
      </w:r>
    </w:p>
    <w:p w:rsidR="00CB6E3A" w:rsidRDefault="00CB6E3A" w:rsidP="00CB6E3A">
      <w:pPr>
        <w:pStyle w:val="Heading3"/>
        <w:ind w:left="0"/>
      </w:pPr>
      <w:r>
        <w:t>DL System Parameters – Advanced History Options Window</w:t>
      </w:r>
    </w:p>
    <w:p w:rsidR="00CB6E3A" w:rsidRDefault="001132C4" w:rsidP="00CB6E3A">
      <w:pPr>
        <w:rPr>
          <w:i/>
          <w:iCs/>
        </w:rPr>
      </w:pPr>
      <w:r>
        <w:rPr>
          <w:i/>
          <w:iCs/>
        </w:rPr>
        <w:t xml:space="preserve"> </w:t>
      </w:r>
      <w:r w:rsidR="003A2166">
        <w:rPr>
          <w:noProof/>
        </w:rPr>
        <w:pict>
          <v:shape id="_x0000_i1026" type="#_x0000_t75" style="width:468pt;height:339.75pt;visibility:visible;mso-wrap-style:square">
            <v:imagedata r:id="rId11" o:title=""/>
          </v:shape>
        </w:pict>
      </w:r>
    </w:p>
    <w:p w:rsidR="00CB6E3A" w:rsidRDefault="00CB6E3A" w:rsidP="00CB6E3A">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6"/>
      </w:tblGrid>
      <w:tr w:rsidR="00CB6E3A" w:rsidTr="00A50C3C">
        <w:trPr>
          <w:cantSplit/>
        </w:trPr>
        <w:tc>
          <w:tcPr>
            <w:tcW w:w="2269" w:type="dxa"/>
          </w:tcPr>
          <w:p w:rsidR="00CB6E3A" w:rsidRDefault="00CB6E3A" w:rsidP="00A50C3C">
            <w:pPr>
              <w:pStyle w:val="Window"/>
              <w:rPr>
                <w:lang w:val="en-GB"/>
              </w:rPr>
            </w:pPr>
          </w:p>
        </w:tc>
        <w:tc>
          <w:tcPr>
            <w:tcW w:w="6946" w:type="dxa"/>
          </w:tcPr>
          <w:p w:rsidR="00CB6E3A" w:rsidRDefault="00CB6E3A" w:rsidP="00CB6E3A">
            <w:pPr>
              <w:pStyle w:val="BodyText"/>
            </w:pPr>
            <w:r>
              <w:fldChar w:fldCharType="begin"/>
            </w:r>
            <w:r>
              <w:instrText xml:space="preserve"> XE "Document References Window" </w:instrText>
            </w:r>
            <w:r>
              <w:fldChar w:fldCharType="end"/>
            </w:r>
            <w:r>
              <w:t>This wind</w:t>
            </w:r>
            <w:r w:rsidR="00B47BAE">
              <w:t>ow appears when you press the ‘A</w:t>
            </w:r>
            <w:r>
              <w:t xml:space="preserve">dvanced’ button within the History Options window.  </w:t>
            </w:r>
          </w:p>
        </w:tc>
      </w:tr>
      <w:tr w:rsidR="008E0342" w:rsidTr="00C01DDC">
        <w:trPr>
          <w:cantSplit/>
        </w:trPr>
        <w:tc>
          <w:tcPr>
            <w:tcW w:w="2269" w:type="dxa"/>
          </w:tcPr>
          <w:p w:rsidR="008E0342" w:rsidRDefault="008E0342" w:rsidP="00A50C3C">
            <w:pPr>
              <w:pStyle w:val="Subheading"/>
            </w:pPr>
            <w:r>
              <w:t>Purpose</w:t>
            </w:r>
          </w:p>
        </w:tc>
        <w:tc>
          <w:tcPr>
            <w:tcW w:w="6946" w:type="dxa"/>
          </w:tcPr>
          <w:p w:rsidR="008E0342" w:rsidRDefault="008E0342" w:rsidP="00A50C3C">
            <w:pPr>
              <w:pStyle w:val="BodyText"/>
            </w:pPr>
            <w:r>
              <w:t>These parameters let you fine tune the extent of transaction history held in Debtors Ledger.</w:t>
            </w:r>
          </w:p>
        </w:tc>
      </w:tr>
      <w:tr w:rsidR="00C01DDC" w:rsidTr="00C01DDC">
        <w:trPr>
          <w:cantSplit/>
        </w:trPr>
        <w:tc>
          <w:tcPr>
            <w:tcW w:w="2269" w:type="dxa"/>
          </w:tcPr>
          <w:p w:rsidR="00C01DDC" w:rsidRPr="00CF131F" w:rsidRDefault="00C01DDC" w:rsidP="00A50C3C">
            <w:pPr>
              <w:pStyle w:val="Window"/>
              <w:rPr>
                <w:b/>
                <w:lang w:val="en-GB"/>
              </w:rPr>
            </w:pPr>
            <w:r w:rsidRPr="00CF131F">
              <w:rPr>
                <w:b/>
                <w:lang w:val="en-GB"/>
              </w:rPr>
              <w:t>Note</w:t>
            </w:r>
          </w:p>
        </w:tc>
        <w:tc>
          <w:tcPr>
            <w:tcW w:w="6946" w:type="dxa"/>
            <w:shd w:val="pct12" w:color="auto" w:fill="auto"/>
          </w:tcPr>
          <w:p w:rsidR="00C01DDC" w:rsidRDefault="00C01DDC" w:rsidP="00A50C3C">
            <w:pPr>
              <w:pStyle w:val="BodyText"/>
            </w:pPr>
            <w:r>
              <w:t>The information in this window applies only to the company displayed in the window’s title bar. You need to set the parameter for each company in turn. To change company, return to the Debtors Ledger Parameters Menu, and choose the Reselect Company option.</w:t>
            </w:r>
          </w:p>
        </w:tc>
      </w:tr>
    </w:tbl>
    <w:p w:rsidR="00811EFF" w:rsidRDefault="00811EFF" w:rsidP="00811EFF">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811EFF" w:rsidTr="00A50C3C">
        <w:trPr>
          <w:cantSplit/>
        </w:trPr>
        <w:tc>
          <w:tcPr>
            <w:tcW w:w="2268" w:type="dxa"/>
          </w:tcPr>
          <w:p w:rsidR="00811EFF" w:rsidRDefault="00811EFF" w:rsidP="00A02006">
            <w:pPr>
              <w:pStyle w:val="Subheading"/>
            </w:pPr>
            <w:r>
              <w:t xml:space="preserve">How many years of transaction history </w:t>
            </w:r>
            <w:r w:rsidR="00A02006">
              <w:t xml:space="preserve">are </w:t>
            </w:r>
            <w:r w:rsidR="00BA6384">
              <w:t>kept?</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tcPr>
          <w:p w:rsidR="00811EFF" w:rsidRDefault="00A02006" w:rsidP="00A02006">
            <w:pPr>
              <w:pStyle w:val="BodyText"/>
            </w:pPr>
            <w:r>
              <w:t>(Display only) T</w:t>
            </w:r>
            <w:r w:rsidR="00811EFF">
              <w:t>he number financial years for which transaction history</w:t>
            </w:r>
            <w:r>
              <w:t xml:space="preserve"> is kept</w:t>
            </w:r>
            <w:r w:rsidR="00B2705D">
              <w:t xml:space="preserve"> (as set in the preceding window).</w:t>
            </w:r>
            <w:r w:rsidR="00811EFF">
              <w:t xml:space="preserve"> </w:t>
            </w:r>
          </w:p>
        </w:tc>
      </w:tr>
      <w:tr w:rsidR="00811EFF" w:rsidTr="00B2705D">
        <w:trPr>
          <w:cantSplit/>
        </w:trPr>
        <w:tc>
          <w:tcPr>
            <w:tcW w:w="2268" w:type="dxa"/>
          </w:tcPr>
          <w:p w:rsidR="00811EFF" w:rsidRPr="006B5A3E" w:rsidRDefault="00811EFF" w:rsidP="00A50C3C">
            <w:pPr>
              <w:pStyle w:val="Subheading"/>
              <w:rPr>
                <w:i/>
              </w:rPr>
            </w:pPr>
            <w:r w:rsidRPr="006B5A3E">
              <w:rPr>
                <w:i/>
              </w:rPr>
              <w:t>Note</w:t>
            </w:r>
          </w:p>
        </w:tc>
        <w:tc>
          <w:tcPr>
            <w:tcW w:w="6946" w:type="dxa"/>
            <w:shd w:val="pct12" w:color="auto" w:fill="auto"/>
          </w:tcPr>
          <w:p w:rsidR="00811EFF" w:rsidRDefault="00811EFF" w:rsidP="00A50C3C">
            <w:pPr>
              <w:pStyle w:val="BodyText"/>
            </w:pPr>
            <w:r>
              <w:t xml:space="preserve">Adjusting this parameter automatically resets the advanced transaction history settings. </w:t>
            </w:r>
          </w:p>
        </w:tc>
      </w:tr>
      <w:tr w:rsidR="00B2705D" w:rsidTr="006C0FE1">
        <w:trPr>
          <w:cantSplit/>
        </w:trPr>
        <w:tc>
          <w:tcPr>
            <w:tcW w:w="2268" w:type="dxa"/>
          </w:tcPr>
          <w:p w:rsidR="00B2705D" w:rsidRPr="00B2705D" w:rsidRDefault="00B2705D" w:rsidP="00E93818">
            <w:pPr>
              <w:pStyle w:val="Subheading"/>
            </w:pPr>
            <w:r>
              <w:t xml:space="preserve">Keep transaction history for all or key </w:t>
            </w:r>
            <w:r w:rsidR="00193B9A">
              <w:t>customers</w:t>
            </w:r>
          </w:p>
        </w:tc>
        <w:tc>
          <w:tcPr>
            <w:tcW w:w="6946" w:type="dxa"/>
            <w:shd w:val="clear" w:color="auto" w:fill="auto"/>
          </w:tcPr>
          <w:p w:rsidR="00B2705D" w:rsidRDefault="00BA6384" w:rsidP="00193B9A">
            <w:pPr>
              <w:pStyle w:val="BodyText"/>
            </w:pPr>
            <w:r>
              <w:t xml:space="preserve">Select ‘All accounts’ to retain transaction history for all accounts or ‘Key </w:t>
            </w:r>
            <w:r w:rsidR="00193B9A">
              <w:t>customers</w:t>
            </w:r>
            <w:r>
              <w:t xml:space="preserve">’ to only retain transaction history for those </w:t>
            </w:r>
            <w:r w:rsidR="00193B9A">
              <w:t>customers</w:t>
            </w:r>
            <w:r>
              <w:t xml:space="preserve"> flagged as key accounts.</w:t>
            </w:r>
          </w:p>
        </w:tc>
      </w:tr>
      <w:tr w:rsidR="006C0FE1" w:rsidTr="006C0FE1">
        <w:trPr>
          <w:cantSplit/>
        </w:trPr>
        <w:tc>
          <w:tcPr>
            <w:tcW w:w="2268" w:type="dxa"/>
          </w:tcPr>
          <w:p w:rsidR="006C0FE1" w:rsidRPr="00BA6384" w:rsidRDefault="006C0FE1" w:rsidP="00A50C3C">
            <w:pPr>
              <w:pStyle w:val="Subheading"/>
              <w:rPr>
                <w:i/>
              </w:rPr>
            </w:pPr>
            <w:r w:rsidRPr="00BA6384">
              <w:rPr>
                <w:i/>
              </w:rPr>
              <w:lastRenderedPageBreak/>
              <w:t>Note</w:t>
            </w:r>
          </w:p>
        </w:tc>
        <w:tc>
          <w:tcPr>
            <w:tcW w:w="6946" w:type="dxa"/>
            <w:shd w:val="pct12" w:color="auto" w:fill="auto"/>
          </w:tcPr>
          <w:p w:rsidR="006C0FE1" w:rsidRDefault="006C0FE1" w:rsidP="00A50C3C">
            <w:pPr>
              <w:pStyle w:val="BodyText"/>
            </w:pPr>
            <w:r>
              <w:t>Throwing away transaction details on non-key accounts has the benefit of clearing down cash accounts promptly but has the drawback of giving the ledger as a whole zero periods of complete transaction history.</w:t>
            </w:r>
          </w:p>
        </w:tc>
      </w:tr>
      <w:tr w:rsidR="006C0FE1" w:rsidTr="000D5719">
        <w:trPr>
          <w:cantSplit/>
        </w:trPr>
        <w:tc>
          <w:tcPr>
            <w:tcW w:w="2268" w:type="dxa"/>
          </w:tcPr>
          <w:p w:rsidR="006C0FE1" w:rsidRDefault="006C0FE1" w:rsidP="00A50C3C">
            <w:pPr>
              <w:pStyle w:val="Subheading"/>
            </w:pPr>
            <w:r>
              <w:t>Keep allocation details?</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shd w:val="clear" w:color="auto" w:fill="auto"/>
          </w:tcPr>
          <w:p w:rsidR="006C0FE1" w:rsidRDefault="006C0FE1" w:rsidP="000D5719">
            <w:pPr>
              <w:pStyle w:val="BodyText"/>
            </w:pPr>
            <w:r>
              <w:t xml:space="preserve">Set this to keep allocation details of archived transactions. </w:t>
            </w:r>
            <w:r w:rsidR="000D5719">
              <w:t>When it is not set they are discarded.</w:t>
            </w:r>
          </w:p>
        </w:tc>
      </w:tr>
      <w:tr w:rsidR="000D5719" w:rsidTr="000D5719">
        <w:trPr>
          <w:cantSplit/>
        </w:trPr>
        <w:tc>
          <w:tcPr>
            <w:tcW w:w="2268" w:type="dxa"/>
          </w:tcPr>
          <w:p w:rsidR="000D5719" w:rsidRPr="000D5719" w:rsidRDefault="000D5719" w:rsidP="00A50C3C">
            <w:pPr>
              <w:pStyle w:val="Subheading"/>
              <w:rPr>
                <w:i/>
              </w:rPr>
            </w:pPr>
            <w:r>
              <w:rPr>
                <w:i/>
              </w:rPr>
              <w:t>Note</w:t>
            </w:r>
          </w:p>
        </w:tc>
        <w:tc>
          <w:tcPr>
            <w:tcW w:w="6946" w:type="dxa"/>
            <w:shd w:val="pct12" w:color="auto" w:fill="auto"/>
          </w:tcPr>
          <w:p w:rsidR="000D5719" w:rsidRDefault="000D5719" w:rsidP="00A50C3C">
            <w:pPr>
              <w:pStyle w:val="BodyText"/>
            </w:pPr>
            <w:r>
              <w:t>Throwing away allocation details saves space but means that the effective date option on aged and open transaction reports cannot be guaranteed for dates before the start of the current financial period.</w:t>
            </w:r>
          </w:p>
        </w:tc>
      </w:tr>
      <w:tr w:rsidR="000D5719" w:rsidTr="000D5719">
        <w:trPr>
          <w:cantSplit/>
        </w:trPr>
        <w:tc>
          <w:tcPr>
            <w:tcW w:w="2268" w:type="dxa"/>
          </w:tcPr>
          <w:p w:rsidR="000D5719" w:rsidRDefault="000D5719" w:rsidP="00193B9A">
            <w:pPr>
              <w:pStyle w:val="Subheading"/>
            </w:pPr>
            <w:r>
              <w:t xml:space="preserve">Keep allocation details for all or key </w:t>
            </w:r>
            <w:r w:rsidR="00193B9A">
              <w:t>customers</w:t>
            </w:r>
          </w:p>
        </w:tc>
        <w:tc>
          <w:tcPr>
            <w:tcW w:w="6946" w:type="dxa"/>
            <w:shd w:val="clear" w:color="auto" w:fill="auto"/>
          </w:tcPr>
          <w:p w:rsidR="000D5719" w:rsidRDefault="000D5719" w:rsidP="00E93818">
            <w:pPr>
              <w:pStyle w:val="BodyText"/>
            </w:pPr>
            <w:r>
              <w:t xml:space="preserve">Select ‘All to retain allocation details for all accounts </w:t>
            </w:r>
            <w:r w:rsidR="00193B9A">
              <w:t>or ‘Key</w:t>
            </w:r>
            <w:r>
              <w:t xml:space="preserve"> </w:t>
            </w:r>
            <w:r w:rsidR="00193B9A">
              <w:t>customers</w:t>
            </w:r>
            <w:r>
              <w:t xml:space="preserve">’ to only retain allocation </w:t>
            </w:r>
            <w:r w:rsidR="00E93818">
              <w:t xml:space="preserve">details </w:t>
            </w:r>
            <w:r>
              <w:t xml:space="preserve">for those </w:t>
            </w:r>
            <w:r w:rsidR="00193B9A">
              <w:t>customers</w:t>
            </w:r>
            <w:r>
              <w:t xml:space="preserve"> flagged as key accounts. </w:t>
            </w:r>
          </w:p>
        </w:tc>
      </w:tr>
      <w:tr w:rsidR="000D5719" w:rsidTr="000D5719">
        <w:trPr>
          <w:cantSplit/>
        </w:trPr>
        <w:tc>
          <w:tcPr>
            <w:tcW w:w="2268" w:type="dxa"/>
          </w:tcPr>
          <w:p w:rsidR="000D5719" w:rsidRPr="000D5719" w:rsidRDefault="000D5719" w:rsidP="00A50C3C">
            <w:pPr>
              <w:pStyle w:val="Window"/>
              <w:rPr>
                <w:b/>
                <w:lang w:val="en-GB"/>
              </w:rPr>
            </w:pPr>
            <w:r w:rsidRPr="000D5719">
              <w:rPr>
                <w:b/>
                <w:lang w:val="en-GB"/>
              </w:rPr>
              <w:t>Note</w:t>
            </w:r>
          </w:p>
        </w:tc>
        <w:tc>
          <w:tcPr>
            <w:tcW w:w="6946" w:type="dxa"/>
            <w:shd w:val="pct12" w:color="auto" w:fill="auto"/>
          </w:tcPr>
          <w:p w:rsidR="000D5719" w:rsidRDefault="000D5719" w:rsidP="000D5719">
            <w:pPr>
              <w:pStyle w:val="BodyText"/>
            </w:pPr>
            <w:r>
              <w:t>Throwing away allocation details for non-key accounts saves space but means that, for those accounts, the effective date option on aged and open transaction reports cannot be guaranteed for dates before the start of the current financial period.</w:t>
            </w:r>
          </w:p>
        </w:tc>
      </w:tr>
      <w:tr w:rsidR="005F344A" w:rsidTr="00C01DDC">
        <w:trPr>
          <w:cantSplit/>
        </w:trPr>
        <w:tc>
          <w:tcPr>
            <w:tcW w:w="2268" w:type="dxa"/>
          </w:tcPr>
          <w:p w:rsidR="005F344A" w:rsidRDefault="005F344A" w:rsidP="00A50C3C">
            <w:pPr>
              <w:pStyle w:val="Subheading"/>
            </w:pPr>
            <w:r>
              <w:t>How many years of GL analysis is to be kept</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shd w:val="clear" w:color="auto" w:fill="auto"/>
          </w:tcPr>
          <w:p w:rsidR="005F344A" w:rsidRDefault="005F344A" w:rsidP="00C01DDC">
            <w:pPr>
              <w:pStyle w:val="BodyText"/>
            </w:pPr>
            <w:r>
              <w:t xml:space="preserve">Enter the number of financial years for which General Ledger analysis for transactions or batches is to be kept. This cannot exceed the number of </w:t>
            </w:r>
            <w:r w:rsidR="00C01DDC">
              <w:t xml:space="preserve">years </w:t>
            </w:r>
            <w:r>
              <w:t>for transaction details s</w:t>
            </w:r>
            <w:r w:rsidR="00C01DDC">
              <w:t>hown</w:t>
            </w:r>
            <w:r>
              <w:t xml:space="preserve"> above.</w:t>
            </w:r>
          </w:p>
        </w:tc>
      </w:tr>
      <w:tr w:rsidR="005F344A" w:rsidTr="00C01DDC">
        <w:trPr>
          <w:cantSplit/>
        </w:trPr>
        <w:tc>
          <w:tcPr>
            <w:tcW w:w="2268" w:type="dxa"/>
          </w:tcPr>
          <w:p w:rsidR="005F344A" w:rsidRPr="00C01DDC" w:rsidRDefault="005F344A" w:rsidP="00A50C3C">
            <w:pPr>
              <w:pStyle w:val="Window"/>
              <w:rPr>
                <w:b/>
                <w:lang w:val="en-GB"/>
              </w:rPr>
            </w:pPr>
            <w:r w:rsidRPr="00C01DDC">
              <w:rPr>
                <w:b/>
                <w:lang w:val="en-GB"/>
              </w:rPr>
              <w:t>Note</w:t>
            </w:r>
          </w:p>
        </w:tc>
        <w:tc>
          <w:tcPr>
            <w:tcW w:w="6946" w:type="dxa"/>
            <w:shd w:val="pct12" w:color="auto" w:fill="auto"/>
          </w:tcPr>
          <w:p w:rsidR="005F344A" w:rsidRDefault="005F344A" w:rsidP="00C01DDC">
            <w:pPr>
              <w:pStyle w:val="BodyText"/>
            </w:pPr>
            <w:r>
              <w:t xml:space="preserve">This provides the upper limit on the number of </w:t>
            </w:r>
            <w:r w:rsidR="00C01DDC">
              <w:t xml:space="preserve">financial years </w:t>
            </w:r>
            <w:r>
              <w:t xml:space="preserve">for which </w:t>
            </w:r>
            <w:r w:rsidRPr="00C01DDC">
              <w:rPr>
                <w:b/>
              </w:rPr>
              <w:t>complete</w:t>
            </w:r>
            <w:r>
              <w:t xml:space="preserve"> transaction data </w:t>
            </w:r>
            <w:r w:rsidR="00C01DDC">
              <w:t>is</w:t>
            </w:r>
            <w:r>
              <w:t xml:space="preserve"> retained.</w:t>
            </w:r>
          </w:p>
        </w:tc>
      </w:tr>
      <w:tr w:rsidR="005F344A" w:rsidTr="00B2705D">
        <w:trPr>
          <w:cantSplit/>
        </w:trPr>
        <w:tc>
          <w:tcPr>
            <w:tcW w:w="2268" w:type="dxa"/>
          </w:tcPr>
          <w:p w:rsidR="005F344A" w:rsidRDefault="00C01DDC" w:rsidP="00C01DDC">
            <w:pPr>
              <w:pStyle w:val="Subheading"/>
            </w:pPr>
            <w:r>
              <w:t xml:space="preserve">How many years are </w:t>
            </w:r>
            <w:r w:rsidR="005F344A">
              <w:t>company period totals</w:t>
            </w:r>
            <w:r>
              <w:t xml:space="preserve"> to be kept</w:t>
            </w:r>
            <w:r w:rsidR="00F81343">
              <w:t xml:space="preserve"> for</w:t>
            </w:r>
            <w:r w:rsidR="005F344A">
              <w:fldChar w:fldCharType="begin"/>
            </w:r>
            <w:r w:rsidR="005F344A">
              <w:instrText xml:space="preserve"> XE "number of periods of history to be held" </w:instrText>
            </w:r>
            <w:r w:rsidR="005F344A">
              <w:fldChar w:fldCharType="end"/>
            </w:r>
            <w:r w:rsidR="005F344A">
              <w:fldChar w:fldCharType="begin"/>
            </w:r>
            <w:r w:rsidR="005F344A">
              <w:instrText xml:space="preserve"> XE "periods, financial:&amp; history" </w:instrText>
            </w:r>
            <w:r w:rsidR="005F344A">
              <w:fldChar w:fldCharType="end"/>
            </w:r>
            <w:r w:rsidR="005F344A">
              <w:fldChar w:fldCharType="begin"/>
            </w:r>
            <w:r w:rsidR="005F344A">
              <w:instrText xml:space="preserve"> XE "financial periods:&amp; history" </w:instrText>
            </w:r>
            <w:r w:rsidR="005F344A">
              <w:fldChar w:fldCharType="end"/>
            </w:r>
          </w:p>
        </w:tc>
        <w:tc>
          <w:tcPr>
            <w:tcW w:w="6946" w:type="dxa"/>
            <w:shd w:val="clear" w:color="auto" w:fill="auto"/>
          </w:tcPr>
          <w:p w:rsidR="005F344A" w:rsidRDefault="005F344A" w:rsidP="00C01DDC">
            <w:pPr>
              <w:pStyle w:val="BodyText"/>
            </w:pPr>
            <w:r>
              <w:t xml:space="preserve">Enter the number of </w:t>
            </w:r>
            <w:r w:rsidR="00C01DDC">
              <w:t xml:space="preserve">financial years </w:t>
            </w:r>
            <w:r>
              <w:t xml:space="preserve">for which you want to keep company period totals. These are available for purge to allow removal of partial totals records that arise following upgrade from other systems that do not keep </w:t>
            </w:r>
            <w:r w:rsidR="00C01DDC">
              <w:t>transaction history</w:t>
            </w:r>
            <w:r>
              <w:t>.</w:t>
            </w:r>
          </w:p>
        </w:tc>
      </w:tr>
    </w:tbl>
    <w:p w:rsidR="001132C4" w:rsidRDefault="001132C4" w:rsidP="00064C73">
      <w:pPr>
        <w:pStyle w:val="BodyText"/>
      </w:pPr>
    </w:p>
    <w:p w:rsidR="00064C73" w:rsidRDefault="001132C4" w:rsidP="001132C4">
      <w:r>
        <w:br w:type="page"/>
      </w:r>
    </w:p>
    <w:p w:rsidR="006D0A65" w:rsidRDefault="006D0A65" w:rsidP="006D0A65">
      <w:pPr>
        <w:pStyle w:val="Heading3"/>
        <w:ind w:left="0"/>
      </w:pPr>
      <w:r>
        <w:t>CL System Parameters – History Options Window</w:t>
      </w:r>
    </w:p>
    <w:p w:rsidR="006D0A65" w:rsidRDefault="001132C4" w:rsidP="006D0A65">
      <w:pPr>
        <w:rPr>
          <w:i/>
          <w:iCs/>
        </w:rPr>
      </w:pPr>
      <w:r>
        <w:rPr>
          <w:i/>
          <w:iCs/>
        </w:rPr>
        <w:t xml:space="preserve"> </w:t>
      </w:r>
      <w:r w:rsidR="003A2166">
        <w:rPr>
          <w:noProof/>
        </w:rPr>
        <w:pict>
          <v:shape id="_x0000_i1027" type="#_x0000_t75" style="width:468pt;height:322.5pt;visibility:visible;mso-wrap-style:square">
            <v:imagedata r:id="rId12" o:title=""/>
          </v:shape>
        </w:pict>
      </w:r>
    </w:p>
    <w:p w:rsidR="006D0A65" w:rsidRDefault="006D0A65" w:rsidP="006D0A65">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6"/>
      </w:tblGrid>
      <w:tr w:rsidR="006D0A65" w:rsidTr="00A50C3C">
        <w:trPr>
          <w:cantSplit/>
        </w:trPr>
        <w:tc>
          <w:tcPr>
            <w:tcW w:w="2269" w:type="dxa"/>
          </w:tcPr>
          <w:p w:rsidR="006D0A65" w:rsidRDefault="006D0A65" w:rsidP="00A50C3C">
            <w:pPr>
              <w:pStyle w:val="Window"/>
              <w:rPr>
                <w:lang w:val="en-GB"/>
              </w:rPr>
            </w:pPr>
          </w:p>
        </w:tc>
        <w:tc>
          <w:tcPr>
            <w:tcW w:w="6946" w:type="dxa"/>
          </w:tcPr>
          <w:p w:rsidR="006D0A65" w:rsidRDefault="006D0A65" w:rsidP="006D0A65">
            <w:pPr>
              <w:pStyle w:val="BodyText"/>
            </w:pPr>
            <w:r>
              <w:fldChar w:fldCharType="begin"/>
            </w:r>
            <w:r>
              <w:instrText xml:space="preserve"> XE "Document References Window" </w:instrText>
            </w:r>
            <w:r>
              <w:fldChar w:fldCharType="end"/>
            </w:r>
            <w:r>
              <w:t>This window appears when you select the History option from the Creditors Ledger system parameters menu.</w:t>
            </w:r>
          </w:p>
        </w:tc>
      </w:tr>
      <w:tr w:rsidR="006D0A65" w:rsidTr="00A50C3C">
        <w:trPr>
          <w:cantSplit/>
        </w:trPr>
        <w:tc>
          <w:tcPr>
            <w:tcW w:w="2269" w:type="dxa"/>
          </w:tcPr>
          <w:p w:rsidR="006D0A65" w:rsidRDefault="006D0A65" w:rsidP="00A50C3C">
            <w:pPr>
              <w:pStyle w:val="Subheading"/>
            </w:pPr>
            <w:r>
              <w:t>Purpose</w:t>
            </w:r>
          </w:p>
        </w:tc>
        <w:tc>
          <w:tcPr>
            <w:tcW w:w="6946" w:type="dxa"/>
          </w:tcPr>
          <w:p w:rsidR="006D0A65" w:rsidRDefault="006D0A65" w:rsidP="006D0A65">
            <w:pPr>
              <w:pStyle w:val="BodyText"/>
            </w:pPr>
            <w:r>
              <w:t>The parameters in this window control the extent of transaction history held in Creditors Ledger. Transaction history is used when reprinting reports and is available when enquiring on supplier accounts. The window also shows how much transaction history is currently present on your system and identifies the earliest audit report that can be reprinted fully.</w:t>
            </w:r>
          </w:p>
        </w:tc>
      </w:tr>
      <w:tr w:rsidR="006D0A65" w:rsidTr="00A50C3C">
        <w:trPr>
          <w:cantSplit/>
        </w:trPr>
        <w:tc>
          <w:tcPr>
            <w:tcW w:w="2269" w:type="dxa"/>
          </w:tcPr>
          <w:p w:rsidR="006D0A65" w:rsidRPr="00CF131F" w:rsidRDefault="006D0A65" w:rsidP="00A50C3C">
            <w:pPr>
              <w:pStyle w:val="Window"/>
              <w:rPr>
                <w:b/>
                <w:lang w:val="en-GB"/>
              </w:rPr>
            </w:pPr>
            <w:r w:rsidRPr="00CF131F">
              <w:rPr>
                <w:b/>
                <w:lang w:val="en-GB"/>
              </w:rPr>
              <w:t>Note</w:t>
            </w:r>
          </w:p>
        </w:tc>
        <w:tc>
          <w:tcPr>
            <w:tcW w:w="6946" w:type="dxa"/>
            <w:shd w:val="pct12" w:color="auto" w:fill="auto"/>
          </w:tcPr>
          <w:p w:rsidR="006D0A65" w:rsidRDefault="006D0A65" w:rsidP="00193B9A">
            <w:pPr>
              <w:pStyle w:val="BodyText"/>
            </w:pPr>
            <w:r>
              <w:t xml:space="preserve">The information in this window applies only to the company displayed in the window’s title bar. You need to set the parameter for each company in turn. To change company, return to the </w:t>
            </w:r>
            <w:r w:rsidR="00193B9A">
              <w:t>Creditors</w:t>
            </w:r>
            <w:r>
              <w:t xml:space="preserve"> Ledger Parameters Menu, and choose the Reselect Company option.</w:t>
            </w:r>
          </w:p>
        </w:tc>
      </w:tr>
    </w:tbl>
    <w:p w:rsidR="006D0A65" w:rsidRDefault="006D0A65" w:rsidP="006D0A65">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6D0A65" w:rsidTr="00A50C3C">
        <w:trPr>
          <w:cantSplit/>
        </w:trPr>
        <w:tc>
          <w:tcPr>
            <w:tcW w:w="2268" w:type="dxa"/>
          </w:tcPr>
          <w:p w:rsidR="006D0A65" w:rsidRDefault="006D0A65" w:rsidP="00A50C3C">
            <w:pPr>
              <w:pStyle w:val="Subheading"/>
            </w:pPr>
            <w:r>
              <w:t>Do you wish to purge archived transaction history after a specified number of years?</w:t>
            </w:r>
          </w:p>
        </w:tc>
        <w:tc>
          <w:tcPr>
            <w:tcW w:w="6946" w:type="dxa"/>
          </w:tcPr>
          <w:p w:rsidR="006D0A65" w:rsidRDefault="006D0A65" w:rsidP="00A50C3C">
            <w:pPr>
              <w:pStyle w:val="BodyText"/>
            </w:pPr>
            <w:r>
              <w:t xml:space="preserve">When this is set transaction purge processing (available via the purge option in close period or the transaction purge function) is enabled and archived transactions are retained for the number of years specified below after which they are deleted. When this is not set completed transactions are automatically archived during close period and are retained indefinitely.  </w:t>
            </w:r>
          </w:p>
        </w:tc>
      </w:tr>
      <w:tr w:rsidR="006D0A65" w:rsidTr="00A50C3C">
        <w:trPr>
          <w:cantSplit/>
        </w:trPr>
        <w:tc>
          <w:tcPr>
            <w:tcW w:w="2268" w:type="dxa"/>
          </w:tcPr>
          <w:p w:rsidR="006D0A65" w:rsidRPr="006B5A3E" w:rsidRDefault="006D0A65" w:rsidP="00A50C3C">
            <w:pPr>
              <w:pStyle w:val="Subheading"/>
              <w:rPr>
                <w:i/>
              </w:rPr>
            </w:pPr>
            <w:r w:rsidRPr="006B5A3E">
              <w:rPr>
                <w:i/>
              </w:rPr>
              <w:t>Note</w:t>
            </w:r>
          </w:p>
        </w:tc>
        <w:tc>
          <w:tcPr>
            <w:tcW w:w="6946" w:type="dxa"/>
            <w:shd w:val="pct12" w:color="auto" w:fill="auto"/>
          </w:tcPr>
          <w:p w:rsidR="006D0A65" w:rsidRDefault="006D0A65" w:rsidP="00A50C3C">
            <w:pPr>
              <w:pStyle w:val="BodyText"/>
            </w:pPr>
            <w:r>
              <w:t>Transactions that are fully complete are automatically archived by close period.</w:t>
            </w:r>
          </w:p>
        </w:tc>
      </w:tr>
      <w:tr w:rsidR="006D0A65" w:rsidTr="00A50C3C">
        <w:trPr>
          <w:cantSplit/>
        </w:trPr>
        <w:tc>
          <w:tcPr>
            <w:tcW w:w="2268" w:type="dxa"/>
          </w:tcPr>
          <w:p w:rsidR="006D0A65" w:rsidRDefault="006D0A65" w:rsidP="00A50C3C">
            <w:pPr>
              <w:pStyle w:val="Subheading"/>
            </w:pPr>
            <w:r>
              <w:t>How many years of transaction history do you wish to keep</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tcPr>
          <w:p w:rsidR="006D0A65" w:rsidRDefault="006D0A65" w:rsidP="00193B9A">
            <w:pPr>
              <w:pStyle w:val="BodyText"/>
            </w:pPr>
            <w:r>
              <w:t xml:space="preserve">Enter the number financial years for which transaction history is to be kept. Purge Transactions automatically deletes archived transactions after this many financial years.  </w:t>
            </w:r>
          </w:p>
        </w:tc>
      </w:tr>
      <w:tr w:rsidR="006D0A65" w:rsidTr="00A50C3C">
        <w:trPr>
          <w:cantSplit/>
        </w:trPr>
        <w:tc>
          <w:tcPr>
            <w:tcW w:w="2268" w:type="dxa"/>
          </w:tcPr>
          <w:p w:rsidR="006D0A65" w:rsidRDefault="006D0A65" w:rsidP="00A50C3C">
            <w:pPr>
              <w:pStyle w:val="Subheading"/>
            </w:pPr>
            <w:r>
              <w:lastRenderedPageBreak/>
              <w:t>Warning</w:t>
            </w:r>
          </w:p>
        </w:tc>
        <w:tc>
          <w:tcPr>
            <w:tcW w:w="6946" w:type="dxa"/>
          </w:tcPr>
          <w:p w:rsidR="006D0A65" w:rsidRDefault="006D0A65" w:rsidP="00A50C3C">
            <w:pPr>
              <w:pStyle w:val="BodyText"/>
            </w:pPr>
            <w:r>
              <w:t>The actual number of financial periods transaction history is kept for is calculated by multiplying the above setting by the number of financial periods per year as defined in the systems administration parameters.</w:t>
            </w:r>
          </w:p>
        </w:tc>
      </w:tr>
      <w:tr w:rsidR="006D0A65" w:rsidTr="00A50C3C">
        <w:trPr>
          <w:cantSplit/>
        </w:trPr>
        <w:tc>
          <w:tcPr>
            <w:tcW w:w="2268" w:type="dxa"/>
          </w:tcPr>
          <w:p w:rsidR="006D0A65" w:rsidRPr="006B5A3E" w:rsidRDefault="006D0A65" w:rsidP="00A50C3C">
            <w:pPr>
              <w:pStyle w:val="Subheading"/>
              <w:rPr>
                <w:i/>
              </w:rPr>
            </w:pPr>
            <w:r w:rsidRPr="006B5A3E">
              <w:rPr>
                <w:i/>
              </w:rPr>
              <w:t>Note</w:t>
            </w:r>
          </w:p>
        </w:tc>
        <w:tc>
          <w:tcPr>
            <w:tcW w:w="6946" w:type="dxa"/>
            <w:shd w:val="pct12" w:color="auto" w:fill="auto"/>
          </w:tcPr>
          <w:p w:rsidR="006D0A65" w:rsidRDefault="006D0A65" w:rsidP="00A50C3C">
            <w:pPr>
              <w:pStyle w:val="BodyText"/>
            </w:pPr>
            <w:r>
              <w:t xml:space="preserve">Adjusting this parameter automatically resets the advanced transaction history settings. </w:t>
            </w:r>
          </w:p>
        </w:tc>
      </w:tr>
    </w:tbl>
    <w:p w:rsidR="006D0A65" w:rsidRDefault="006D0A65" w:rsidP="006D0A65">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6D0A65" w:rsidTr="00A50C3C">
        <w:trPr>
          <w:cantSplit/>
        </w:trPr>
        <w:tc>
          <w:tcPr>
            <w:tcW w:w="2268" w:type="dxa"/>
          </w:tcPr>
          <w:p w:rsidR="006D0A65" w:rsidRDefault="006D0A65" w:rsidP="00A50C3C">
            <w:pPr>
              <w:pStyle w:val="Subheading"/>
            </w:pPr>
            <w:r>
              <w:t>Advanced</w:t>
            </w:r>
          </w:p>
        </w:tc>
        <w:tc>
          <w:tcPr>
            <w:tcW w:w="6946" w:type="dxa"/>
          </w:tcPr>
          <w:p w:rsidR="006D0A65" w:rsidRDefault="00035A14" w:rsidP="00A50C3C">
            <w:pPr>
              <w:pStyle w:val="BodyText"/>
            </w:pPr>
            <w:r w:rsidRPr="00035A14">
              <w:rPr>
                <w:i/>
              </w:rPr>
              <w:t xml:space="preserve">(Only available if transaction history is purged). </w:t>
            </w:r>
            <w:r w:rsidR="006D0A65">
              <w:t xml:space="preserve">Press this to view and update more advanced transaction history settings.  </w:t>
            </w:r>
          </w:p>
        </w:tc>
      </w:tr>
      <w:tr w:rsidR="006D0A65" w:rsidTr="00A50C3C">
        <w:trPr>
          <w:cantSplit/>
        </w:trPr>
        <w:tc>
          <w:tcPr>
            <w:tcW w:w="2268" w:type="dxa"/>
          </w:tcPr>
          <w:p w:rsidR="006D0A65" w:rsidRDefault="006D0A65" w:rsidP="00A50C3C">
            <w:pPr>
              <w:pStyle w:val="Subheading"/>
            </w:pPr>
            <w:r>
              <w:t>Close</w:t>
            </w:r>
          </w:p>
        </w:tc>
        <w:tc>
          <w:tcPr>
            <w:tcW w:w="6946" w:type="dxa"/>
          </w:tcPr>
          <w:p w:rsidR="006D0A65" w:rsidRDefault="006D0A65" w:rsidP="00E93818">
            <w:pPr>
              <w:pStyle w:val="BodyText"/>
            </w:pPr>
            <w:r>
              <w:t xml:space="preserve">Press this to save the settings and return to the </w:t>
            </w:r>
            <w:r w:rsidR="00E93818">
              <w:t>Creditors</w:t>
            </w:r>
            <w:r>
              <w:t xml:space="preserve"> Ledger parameters menu.</w:t>
            </w:r>
          </w:p>
        </w:tc>
      </w:tr>
    </w:tbl>
    <w:p w:rsidR="006D0A65" w:rsidRDefault="006D0A65" w:rsidP="006D0A65">
      <w:pPr>
        <w:pStyle w:val="Heading3"/>
        <w:ind w:left="0"/>
        <w:rPr>
          <w:sz w:val="18"/>
          <w:szCs w:val="18"/>
        </w:rPr>
      </w:pPr>
    </w:p>
    <w:p w:rsidR="006D0A65" w:rsidRDefault="00E93818" w:rsidP="006D0A65">
      <w:pPr>
        <w:pStyle w:val="Heading3"/>
        <w:ind w:left="0"/>
      </w:pPr>
      <w:r>
        <w:t>C</w:t>
      </w:r>
      <w:r w:rsidR="006D0A65">
        <w:t>L System Parameters – Advanced History Options Window</w:t>
      </w:r>
    </w:p>
    <w:p w:rsidR="006D0A65" w:rsidRDefault="003A2166" w:rsidP="006D0A65">
      <w:pPr>
        <w:rPr>
          <w:noProof/>
        </w:rPr>
      </w:pPr>
      <w:r>
        <w:rPr>
          <w:noProof/>
        </w:rPr>
        <w:pict>
          <v:shape id="_x0000_i1028" type="#_x0000_t75" style="width:468pt;height:341.25pt;visibility:visible;mso-wrap-style:square">
            <v:imagedata r:id="rId13" o:title=""/>
          </v:shape>
        </w:pict>
      </w:r>
    </w:p>
    <w:p w:rsidR="001132C4" w:rsidRDefault="001132C4" w:rsidP="006D0A65">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6"/>
      </w:tblGrid>
      <w:tr w:rsidR="006D0A65" w:rsidTr="00A50C3C">
        <w:trPr>
          <w:cantSplit/>
        </w:trPr>
        <w:tc>
          <w:tcPr>
            <w:tcW w:w="2269" w:type="dxa"/>
          </w:tcPr>
          <w:p w:rsidR="006D0A65" w:rsidRDefault="006D0A65" w:rsidP="00A50C3C">
            <w:pPr>
              <w:pStyle w:val="Window"/>
              <w:rPr>
                <w:lang w:val="en-GB"/>
              </w:rPr>
            </w:pPr>
          </w:p>
        </w:tc>
        <w:tc>
          <w:tcPr>
            <w:tcW w:w="6946" w:type="dxa"/>
          </w:tcPr>
          <w:p w:rsidR="006D0A65" w:rsidRDefault="006D0A65" w:rsidP="00A50C3C">
            <w:pPr>
              <w:pStyle w:val="BodyText"/>
            </w:pPr>
            <w:r>
              <w:fldChar w:fldCharType="begin"/>
            </w:r>
            <w:r>
              <w:instrText xml:space="preserve"> XE "Document References Window" </w:instrText>
            </w:r>
            <w:r>
              <w:fldChar w:fldCharType="end"/>
            </w:r>
            <w:r>
              <w:t xml:space="preserve">This window appears when you press the ‘Advanced’ button within the History Options window.  </w:t>
            </w:r>
          </w:p>
        </w:tc>
      </w:tr>
      <w:tr w:rsidR="006D0A65" w:rsidTr="00A50C3C">
        <w:trPr>
          <w:cantSplit/>
        </w:trPr>
        <w:tc>
          <w:tcPr>
            <w:tcW w:w="2269" w:type="dxa"/>
          </w:tcPr>
          <w:p w:rsidR="006D0A65" w:rsidRDefault="006D0A65" w:rsidP="00A50C3C">
            <w:pPr>
              <w:pStyle w:val="Subheading"/>
            </w:pPr>
            <w:r>
              <w:t>Purpose</w:t>
            </w:r>
          </w:p>
        </w:tc>
        <w:tc>
          <w:tcPr>
            <w:tcW w:w="6946" w:type="dxa"/>
          </w:tcPr>
          <w:p w:rsidR="006D0A65" w:rsidRDefault="006D0A65" w:rsidP="00E93818">
            <w:pPr>
              <w:pStyle w:val="BodyText"/>
            </w:pPr>
            <w:r>
              <w:t xml:space="preserve">These parameters let you fine tune the extent of transaction history held in </w:t>
            </w:r>
            <w:r w:rsidR="00E93818">
              <w:t>Creditor</w:t>
            </w:r>
            <w:r>
              <w:t>s Ledger.</w:t>
            </w:r>
          </w:p>
        </w:tc>
      </w:tr>
      <w:tr w:rsidR="006D0A65" w:rsidTr="00A50C3C">
        <w:trPr>
          <w:cantSplit/>
        </w:trPr>
        <w:tc>
          <w:tcPr>
            <w:tcW w:w="2269" w:type="dxa"/>
          </w:tcPr>
          <w:p w:rsidR="006D0A65" w:rsidRPr="00CF131F" w:rsidRDefault="006D0A65" w:rsidP="00A50C3C">
            <w:pPr>
              <w:pStyle w:val="Window"/>
              <w:rPr>
                <w:b/>
                <w:lang w:val="en-GB"/>
              </w:rPr>
            </w:pPr>
            <w:r w:rsidRPr="00CF131F">
              <w:rPr>
                <w:b/>
                <w:lang w:val="en-GB"/>
              </w:rPr>
              <w:t>Note</w:t>
            </w:r>
          </w:p>
        </w:tc>
        <w:tc>
          <w:tcPr>
            <w:tcW w:w="6946" w:type="dxa"/>
            <w:shd w:val="pct12" w:color="auto" w:fill="auto"/>
          </w:tcPr>
          <w:p w:rsidR="006D0A65" w:rsidRDefault="006D0A65" w:rsidP="00E93818">
            <w:pPr>
              <w:pStyle w:val="BodyText"/>
            </w:pPr>
            <w:r>
              <w:t xml:space="preserve">The information in this window applies only to the company displayed in the window’s title bar. You need to set the parameter for each company in turn. To change company, return to the </w:t>
            </w:r>
            <w:r w:rsidR="00E93818">
              <w:t>Creditors</w:t>
            </w:r>
            <w:r>
              <w:t xml:space="preserve"> Ledger Parameters Menu, and choose the Reselect Company option.</w:t>
            </w:r>
          </w:p>
        </w:tc>
      </w:tr>
    </w:tbl>
    <w:p w:rsidR="006D0A65" w:rsidRDefault="006D0A65" w:rsidP="006D0A65">
      <w:pPr>
        <w:pStyle w:val="Subheading3"/>
      </w:pPr>
      <w:r>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6D0A65" w:rsidTr="00A50C3C">
        <w:trPr>
          <w:cantSplit/>
        </w:trPr>
        <w:tc>
          <w:tcPr>
            <w:tcW w:w="2268" w:type="dxa"/>
          </w:tcPr>
          <w:p w:rsidR="006D0A65" w:rsidRDefault="006D0A65" w:rsidP="00A50C3C">
            <w:pPr>
              <w:pStyle w:val="Subheading"/>
            </w:pPr>
            <w:r>
              <w:t>How many years of transaction history are kept?</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tcPr>
          <w:p w:rsidR="006D0A65" w:rsidRDefault="006D0A65" w:rsidP="00A50C3C">
            <w:pPr>
              <w:pStyle w:val="BodyText"/>
            </w:pPr>
            <w:r>
              <w:t xml:space="preserve">(Display only) The number financial years for which transaction history is kept (as set in the preceding window). </w:t>
            </w:r>
          </w:p>
        </w:tc>
      </w:tr>
      <w:tr w:rsidR="006D0A65" w:rsidTr="00A50C3C">
        <w:trPr>
          <w:cantSplit/>
        </w:trPr>
        <w:tc>
          <w:tcPr>
            <w:tcW w:w="2268" w:type="dxa"/>
          </w:tcPr>
          <w:p w:rsidR="006D0A65" w:rsidRPr="00B2705D" w:rsidRDefault="006D0A65" w:rsidP="00E93818">
            <w:pPr>
              <w:pStyle w:val="Subheading"/>
            </w:pPr>
            <w:r>
              <w:t xml:space="preserve">Keep transaction history for all or key </w:t>
            </w:r>
            <w:r w:rsidR="00E93818">
              <w:t>suppliers</w:t>
            </w:r>
          </w:p>
        </w:tc>
        <w:tc>
          <w:tcPr>
            <w:tcW w:w="6946" w:type="dxa"/>
            <w:shd w:val="clear" w:color="auto" w:fill="auto"/>
          </w:tcPr>
          <w:p w:rsidR="006D0A65" w:rsidRDefault="006D0A65" w:rsidP="00E93818">
            <w:pPr>
              <w:pStyle w:val="BodyText"/>
            </w:pPr>
            <w:r>
              <w:t xml:space="preserve">Select ‘All </w:t>
            </w:r>
            <w:r w:rsidR="00E93818">
              <w:t>suppliers</w:t>
            </w:r>
            <w:r>
              <w:t xml:space="preserve">’ to retain transaction history for all accounts or ‘Key </w:t>
            </w:r>
            <w:r w:rsidR="00E93818">
              <w:t>suppliers</w:t>
            </w:r>
            <w:r>
              <w:t xml:space="preserve">’ to only retain transaction history for those </w:t>
            </w:r>
            <w:r w:rsidR="00E93818">
              <w:t>suppliers</w:t>
            </w:r>
            <w:r>
              <w:t xml:space="preserve"> flagged as key accounts.</w:t>
            </w:r>
          </w:p>
        </w:tc>
      </w:tr>
      <w:tr w:rsidR="006D0A65" w:rsidTr="00A50C3C">
        <w:trPr>
          <w:cantSplit/>
        </w:trPr>
        <w:tc>
          <w:tcPr>
            <w:tcW w:w="2268" w:type="dxa"/>
          </w:tcPr>
          <w:p w:rsidR="006D0A65" w:rsidRPr="00BA6384" w:rsidRDefault="006D0A65" w:rsidP="00A50C3C">
            <w:pPr>
              <w:pStyle w:val="Subheading"/>
              <w:rPr>
                <w:i/>
              </w:rPr>
            </w:pPr>
            <w:r w:rsidRPr="00BA6384">
              <w:rPr>
                <w:i/>
              </w:rPr>
              <w:t>Note</w:t>
            </w:r>
          </w:p>
        </w:tc>
        <w:tc>
          <w:tcPr>
            <w:tcW w:w="6946" w:type="dxa"/>
            <w:shd w:val="pct12" w:color="auto" w:fill="auto"/>
          </w:tcPr>
          <w:p w:rsidR="006D0A65" w:rsidRDefault="006D0A65" w:rsidP="00494F66">
            <w:pPr>
              <w:pStyle w:val="BodyText"/>
            </w:pPr>
            <w:r>
              <w:t xml:space="preserve">Throwing away transaction details on non-key accounts has the benefit of clearing down </w:t>
            </w:r>
            <w:r w:rsidR="00494F66">
              <w:t xml:space="preserve">high volume </w:t>
            </w:r>
            <w:r>
              <w:t>accounts promptly but has the drawback of giving the ledger as a whole zero periods of complete transaction history.</w:t>
            </w:r>
          </w:p>
        </w:tc>
      </w:tr>
      <w:tr w:rsidR="006D0A65" w:rsidTr="00A50C3C">
        <w:trPr>
          <w:cantSplit/>
        </w:trPr>
        <w:tc>
          <w:tcPr>
            <w:tcW w:w="2268" w:type="dxa"/>
          </w:tcPr>
          <w:p w:rsidR="006D0A65" w:rsidRDefault="006D0A65" w:rsidP="00A50C3C">
            <w:pPr>
              <w:pStyle w:val="Subheading"/>
            </w:pPr>
            <w:r>
              <w:t>Keep allocation details?</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shd w:val="clear" w:color="auto" w:fill="auto"/>
          </w:tcPr>
          <w:p w:rsidR="006D0A65" w:rsidRDefault="006D0A65" w:rsidP="00A50C3C">
            <w:pPr>
              <w:pStyle w:val="BodyText"/>
            </w:pPr>
            <w:r>
              <w:t>Set this to keep allocation details of archived transactions. When it is not set they are discarded.</w:t>
            </w:r>
          </w:p>
        </w:tc>
      </w:tr>
      <w:tr w:rsidR="006D0A65" w:rsidTr="00A50C3C">
        <w:trPr>
          <w:cantSplit/>
        </w:trPr>
        <w:tc>
          <w:tcPr>
            <w:tcW w:w="2268" w:type="dxa"/>
          </w:tcPr>
          <w:p w:rsidR="006D0A65" w:rsidRPr="000D5719" w:rsidRDefault="006D0A65" w:rsidP="00A50C3C">
            <w:pPr>
              <w:pStyle w:val="Subheading"/>
              <w:rPr>
                <w:i/>
              </w:rPr>
            </w:pPr>
            <w:r>
              <w:rPr>
                <w:i/>
              </w:rPr>
              <w:t>Note</w:t>
            </w:r>
          </w:p>
        </w:tc>
        <w:tc>
          <w:tcPr>
            <w:tcW w:w="6946" w:type="dxa"/>
            <w:shd w:val="pct12" w:color="auto" w:fill="auto"/>
          </w:tcPr>
          <w:p w:rsidR="006D0A65" w:rsidRDefault="006D0A65" w:rsidP="00A50C3C">
            <w:pPr>
              <w:pStyle w:val="BodyText"/>
            </w:pPr>
            <w:r>
              <w:t>Throwing away allocation details saves space but means that the effective date option on aged and open transaction reports cannot be guaranteed for dates before the start of the current financial period.</w:t>
            </w:r>
          </w:p>
        </w:tc>
      </w:tr>
      <w:tr w:rsidR="006D0A65" w:rsidTr="00A50C3C">
        <w:trPr>
          <w:cantSplit/>
        </w:trPr>
        <w:tc>
          <w:tcPr>
            <w:tcW w:w="2268" w:type="dxa"/>
          </w:tcPr>
          <w:p w:rsidR="006D0A65" w:rsidRDefault="006D0A65" w:rsidP="00E93818">
            <w:pPr>
              <w:pStyle w:val="Subheading"/>
            </w:pPr>
            <w:r>
              <w:t xml:space="preserve">Keep allocation details for all or key </w:t>
            </w:r>
            <w:r w:rsidR="00E93818">
              <w:t>suppliers</w:t>
            </w:r>
          </w:p>
        </w:tc>
        <w:tc>
          <w:tcPr>
            <w:tcW w:w="6946" w:type="dxa"/>
            <w:shd w:val="clear" w:color="auto" w:fill="auto"/>
          </w:tcPr>
          <w:p w:rsidR="006D0A65" w:rsidRDefault="006D0A65" w:rsidP="00E93818">
            <w:pPr>
              <w:pStyle w:val="BodyText"/>
            </w:pPr>
            <w:r>
              <w:t xml:space="preserve">Select ‘All to retain allocation details for all </w:t>
            </w:r>
            <w:r w:rsidR="00E93818">
              <w:t>supplier</w:t>
            </w:r>
            <w:r>
              <w:t xml:space="preserve">s </w:t>
            </w:r>
            <w:r w:rsidR="00E93818">
              <w:t>or ‘Key</w:t>
            </w:r>
            <w:r>
              <w:t xml:space="preserve"> </w:t>
            </w:r>
            <w:r w:rsidR="00E93818">
              <w:t>suppliers</w:t>
            </w:r>
            <w:r>
              <w:t xml:space="preserve">’ to only retain allocation details for those </w:t>
            </w:r>
            <w:r w:rsidR="00E93818">
              <w:t>supplier</w:t>
            </w:r>
            <w:r>
              <w:t xml:space="preserve">s flagged as key accounts. </w:t>
            </w:r>
          </w:p>
        </w:tc>
      </w:tr>
      <w:tr w:rsidR="006D0A65" w:rsidTr="00A50C3C">
        <w:trPr>
          <w:cantSplit/>
        </w:trPr>
        <w:tc>
          <w:tcPr>
            <w:tcW w:w="2268" w:type="dxa"/>
          </w:tcPr>
          <w:p w:rsidR="006D0A65" w:rsidRPr="000D5719" w:rsidRDefault="006D0A65" w:rsidP="00A50C3C">
            <w:pPr>
              <w:pStyle w:val="Window"/>
              <w:rPr>
                <w:b/>
                <w:lang w:val="en-GB"/>
              </w:rPr>
            </w:pPr>
            <w:r w:rsidRPr="000D5719">
              <w:rPr>
                <w:b/>
                <w:lang w:val="en-GB"/>
              </w:rPr>
              <w:t>Note</w:t>
            </w:r>
          </w:p>
        </w:tc>
        <w:tc>
          <w:tcPr>
            <w:tcW w:w="6946" w:type="dxa"/>
            <w:shd w:val="pct12" w:color="auto" w:fill="auto"/>
          </w:tcPr>
          <w:p w:rsidR="006D0A65" w:rsidRDefault="006D0A65" w:rsidP="00A50C3C">
            <w:pPr>
              <w:pStyle w:val="BodyText"/>
            </w:pPr>
            <w:r>
              <w:t>Throwing away allocation details for non-key accounts saves space but means that, for those accounts, the effective date option on aged and open transaction reports cannot be guaranteed for dates before the start of the current financial period.</w:t>
            </w:r>
          </w:p>
        </w:tc>
      </w:tr>
      <w:tr w:rsidR="006D0A65" w:rsidTr="00A50C3C">
        <w:trPr>
          <w:cantSplit/>
        </w:trPr>
        <w:tc>
          <w:tcPr>
            <w:tcW w:w="2268" w:type="dxa"/>
          </w:tcPr>
          <w:p w:rsidR="006D0A65" w:rsidRDefault="006D0A65" w:rsidP="00A50C3C">
            <w:pPr>
              <w:pStyle w:val="Subheading"/>
            </w:pPr>
            <w:r>
              <w:t>How many years of GL analysis is to be kept</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shd w:val="clear" w:color="auto" w:fill="auto"/>
          </w:tcPr>
          <w:p w:rsidR="006D0A65" w:rsidRDefault="006D0A65" w:rsidP="00A50C3C">
            <w:pPr>
              <w:pStyle w:val="BodyText"/>
            </w:pPr>
            <w:r>
              <w:t>Enter the number of financial years for which General Ledger analysis for transactions or batches is to be kept. This cannot exceed the number of years for transaction details shown above.</w:t>
            </w:r>
          </w:p>
        </w:tc>
      </w:tr>
      <w:tr w:rsidR="006D0A65" w:rsidTr="00A50C3C">
        <w:trPr>
          <w:cantSplit/>
        </w:trPr>
        <w:tc>
          <w:tcPr>
            <w:tcW w:w="2268" w:type="dxa"/>
          </w:tcPr>
          <w:p w:rsidR="006D0A65" w:rsidRPr="00C01DDC" w:rsidRDefault="006D0A65" w:rsidP="00A50C3C">
            <w:pPr>
              <w:pStyle w:val="Window"/>
              <w:rPr>
                <w:b/>
                <w:lang w:val="en-GB"/>
              </w:rPr>
            </w:pPr>
            <w:r w:rsidRPr="00C01DDC">
              <w:rPr>
                <w:b/>
                <w:lang w:val="en-GB"/>
              </w:rPr>
              <w:t>Note</w:t>
            </w:r>
          </w:p>
        </w:tc>
        <w:tc>
          <w:tcPr>
            <w:tcW w:w="6946" w:type="dxa"/>
            <w:shd w:val="pct12" w:color="auto" w:fill="auto"/>
          </w:tcPr>
          <w:p w:rsidR="006D0A65" w:rsidRDefault="006D0A65" w:rsidP="00A50C3C">
            <w:pPr>
              <w:pStyle w:val="BodyText"/>
            </w:pPr>
            <w:r>
              <w:t xml:space="preserve">This provides the upper limit on the number of financial years for which </w:t>
            </w:r>
            <w:r w:rsidRPr="00C01DDC">
              <w:rPr>
                <w:b/>
              </w:rPr>
              <w:t>complete</w:t>
            </w:r>
            <w:r>
              <w:t xml:space="preserve"> transaction data is retained.</w:t>
            </w:r>
          </w:p>
        </w:tc>
      </w:tr>
      <w:tr w:rsidR="006D0A65" w:rsidTr="00A50C3C">
        <w:trPr>
          <w:cantSplit/>
        </w:trPr>
        <w:tc>
          <w:tcPr>
            <w:tcW w:w="2268" w:type="dxa"/>
          </w:tcPr>
          <w:p w:rsidR="006D0A65" w:rsidRDefault="006D0A65" w:rsidP="00A50C3C">
            <w:pPr>
              <w:pStyle w:val="Subheading"/>
            </w:pPr>
            <w:r>
              <w:t>How many years are company period totals to be kept</w:t>
            </w:r>
            <w:r w:rsidR="00D2501F">
              <w:t xml:space="preserve"> for</w:t>
            </w:r>
            <w:r>
              <w:fldChar w:fldCharType="begin"/>
            </w:r>
            <w:r>
              <w:instrText xml:space="preserve"> XE "number of periods of history to be held" </w:instrText>
            </w:r>
            <w:r>
              <w:fldChar w:fldCharType="end"/>
            </w:r>
            <w:r>
              <w:fldChar w:fldCharType="begin"/>
            </w:r>
            <w:r>
              <w:instrText xml:space="preserve"> XE "periods, financial:&amp; history" </w:instrText>
            </w:r>
            <w:r>
              <w:fldChar w:fldCharType="end"/>
            </w:r>
            <w:r>
              <w:fldChar w:fldCharType="begin"/>
            </w:r>
            <w:r>
              <w:instrText xml:space="preserve"> XE "financial periods:&amp; history" </w:instrText>
            </w:r>
            <w:r>
              <w:fldChar w:fldCharType="end"/>
            </w:r>
          </w:p>
        </w:tc>
        <w:tc>
          <w:tcPr>
            <w:tcW w:w="6946" w:type="dxa"/>
            <w:shd w:val="clear" w:color="auto" w:fill="auto"/>
          </w:tcPr>
          <w:p w:rsidR="006D0A65" w:rsidRDefault="006D0A65" w:rsidP="00A50C3C">
            <w:pPr>
              <w:pStyle w:val="BodyText"/>
            </w:pPr>
            <w:r>
              <w:t>Enter the number of financial years for which you want to keep company period totals. These are available for purge to allow removal of partial totals records that arise following upgrade from other systems that do not keep transaction history.</w:t>
            </w:r>
          </w:p>
        </w:tc>
      </w:tr>
    </w:tbl>
    <w:p w:rsidR="00064C73" w:rsidRDefault="00064C73" w:rsidP="00064C73">
      <w:pPr>
        <w:pStyle w:val="BodyText"/>
      </w:pPr>
    </w:p>
    <w:p w:rsidR="00E93818" w:rsidRDefault="00E93818" w:rsidP="00064C73">
      <w:pPr>
        <w:pStyle w:val="BodyText"/>
      </w:pPr>
    </w:p>
    <w:p w:rsidR="00064C73" w:rsidRPr="00064C73" w:rsidRDefault="00064C73" w:rsidP="00064C73">
      <w:pPr>
        <w:pStyle w:val="BodyText"/>
      </w:pPr>
    </w:p>
    <w:p w:rsidR="0001137A" w:rsidRDefault="0001137A">
      <w:pPr>
        <w:rPr>
          <w:rFonts w:ascii="Arial" w:hAnsi="Arial"/>
          <w:b/>
          <w:sz w:val="22"/>
        </w:rPr>
      </w:pPr>
    </w:p>
    <w:sectPr w:rsidR="0001137A">
      <w:headerReference w:type="even" r:id="rId14"/>
      <w:headerReference w:type="default" r:id="rId15"/>
      <w:footerReference w:type="even" r:id="rId16"/>
      <w:footerReference w:type="default" r:id="rId17"/>
      <w:headerReference w:type="first" r:id="rId18"/>
      <w:footerReference w:type="first" r:id="rId19"/>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4A4" w:rsidRDefault="005074A4">
      <w:r>
        <w:separator/>
      </w:r>
    </w:p>
  </w:endnote>
  <w:endnote w:type="continuationSeparator" w:id="0">
    <w:p w:rsidR="005074A4" w:rsidRDefault="0050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166" w:rsidRDefault="003A21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A50C3C">
      <w:tc>
        <w:tcPr>
          <w:tcW w:w="2178" w:type="dxa"/>
        </w:tcPr>
        <w:p w:rsidR="00A50C3C" w:rsidRDefault="00A50C3C">
          <w:pPr>
            <w:pStyle w:val="Footer"/>
            <w:rPr>
              <w:rFonts w:ascii="Arial" w:hAnsi="Arial"/>
              <w:b/>
              <w:sz w:val="24"/>
            </w:rPr>
          </w:pPr>
          <w:r>
            <w:rPr>
              <w:rFonts w:ascii="Arial" w:hAnsi="Arial"/>
              <w:b/>
              <w:sz w:val="24"/>
            </w:rPr>
            <w:t>Author</w:t>
          </w:r>
        </w:p>
      </w:tc>
      <w:tc>
        <w:tcPr>
          <w:tcW w:w="8130" w:type="dxa"/>
          <w:gridSpan w:val="2"/>
          <w:vAlign w:val="center"/>
        </w:tcPr>
        <w:p w:rsidR="00A50C3C" w:rsidRDefault="00A50C3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B234CC">
            <w:rPr>
              <w:rFonts w:ascii="Arial" w:hAnsi="Arial"/>
              <w:noProof/>
              <w:sz w:val="18"/>
            </w:rPr>
            <w:t>DCP</w:t>
          </w:r>
          <w:r>
            <w:rPr>
              <w:rFonts w:ascii="Arial" w:hAnsi="Arial"/>
              <w:sz w:val="18"/>
            </w:rPr>
            <w:fldChar w:fldCharType="end"/>
          </w:r>
        </w:p>
      </w:tc>
    </w:tr>
    <w:tr w:rsidR="00A50C3C">
      <w:tc>
        <w:tcPr>
          <w:tcW w:w="2178" w:type="dxa"/>
        </w:tcPr>
        <w:p w:rsidR="00A50C3C" w:rsidRDefault="00A50C3C">
          <w:pPr>
            <w:pStyle w:val="Footer"/>
            <w:rPr>
              <w:rFonts w:ascii="Arial" w:hAnsi="Arial"/>
              <w:b/>
              <w:sz w:val="24"/>
            </w:rPr>
          </w:pPr>
          <w:r>
            <w:rPr>
              <w:rFonts w:ascii="Arial" w:hAnsi="Arial"/>
              <w:b/>
              <w:sz w:val="24"/>
            </w:rPr>
            <w:t>Project</w:t>
          </w:r>
        </w:p>
      </w:tc>
      <w:tc>
        <w:tcPr>
          <w:tcW w:w="8130" w:type="dxa"/>
          <w:gridSpan w:val="2"/>
          <w:vAlign w:val="center"/>
        </w:tcPr>
        <w:p w:rsidR="00A50C3C" w:rsidRDefault="00A50C3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234CC">
            <w:rPr>
              <w:rFonts w:ascii="Arial" w:hAnsi="Arial"/>
              <w:noProof/>
              <w:sz w:val="18"/>
            </w:rPr>
            <w:t>ZM60_000408.docx</w:t>
          </w:r>
          <w:r>
            <w:rPr>
              <w:rFonts w:ascii="Arial" w:hAnsi="Arial"/>
              <w:sz w:val="18"/>
            </w:rPr>
            <w:fldChar w:fldCharType="end"/>
          </w:r>
        </w:p>
      </w:tc>
    </w:tr>
    <w:tr w:rsidR="00A50C3C">
      <w:trPr>
        <w:cantSplit/>
      </w:trPr>
      <w:tc>
        <w:tcPr>
          <w:tcW w:w="2178" w:type="dxa"/>
        </w:tcPr>
        <w:p w:rsidR="00A50C3C" w:rsidRDefault="00A50C3C">
          <w:pPr>
            <w:pStyle w:val="Footer"/>
            <w:rPr>
              <w:rFonts w:ascii="Arial" w:hAnsi="Arial"/>
              <w:b/>
              <w:sz w:val="24"/>
            </w:rPr>
          </w:pPr>
          <w:r>
            <w:rPr>
              <w:rFonts w:ascii="Arial" w:hAnsi="Arial"/>
              <w:b/>
              <w:sz w:val="24"/>
            </w:rPr>
            <w:t>Version</w:t>
          </w:r>
        </w:p>
      </w:tc>
      <w:tc>
        <w:tcPr>
          <w:tcW w:w="7200" w:type="dxa"/>
          <w:vAlign w:val="center"/>
        </w:tcPr>
        <w:p w:rsidR="00A50C3C" w:rsidRDefault="00A50C3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B234CC">
            <w:rPr>
              <w:rFonts w:ascii="Arial" w:hAnsi="Arial"/>
              <w:sz w:val="18"/>
            </w:rPr>
            <w:t>1.0</w:t>
          </w:r>
          <w:r>
            <w:rPr>
              <w:rFonts w:ascii="Arial" w:hAnsi="Arial"/>
              <w:sz w:val="18"/>
            </w:rPr>
            <w:fldChar w:fldCharType="end"/>
          </w:r>
        </w:p>
      </w:tc>
      <w:tc>
        <w:tcPr>
          <w:tcW w:w="930" w:type="dxa"/>
          <w:vAlign w:val="center"/>
        </w:tcPr>
        <w:p w:rsidR="00A50C3C" w:rsidRDefault="00A50C3C" w:rsidP="003A2166">
          <w:pPr>
            <w:tabs>
              <w:tab w:val="center" w:pos="5232"/>
              <w:tab w:val="right" w:pos="10465"/>
            </w:tabs>
            <w:suppressAutoHyphens/>
            <w:jc w:val="right"/>
          </w:pPr>
          <w:r>
            <w:fldChar w:fldCharType="begin"/>
          </w:r>
          <w:r>
            <w:instrText>page \* arabic</w:instrText>
          </w:r>
          <w:r>
            <w:fldChar w:fldCharType="separate"/>
          </w:r>
          <w:r w:rsidR="003A2166">
            <w:rPr>
              <w:noProof/>
            </w:rPr>
            <w:t>9</w:t>
          </w:r>
          <w:r>
            <w:fldChar w:fldCharType="end"/>
          </w:r>
          <w:r>
            <w:t xml:space="preserve"> of </w:t>
          </w:r>
          <w:r w:rsidR="003A2166">
            <w:t>9</w:t>
          </w:r>
          <w:bookmarkStart w:id="0" w:name="_GoBack"/>
          <w:bookmarkEnd w:id="0"/>
        </w:p>
      </w:tc>
    </w:tr>
  </w:tbl>
  <w:p w:rsidR="00A50C3C" w:rsidRDefault="00A50C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166" w:rsidRDefault="003A2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4A4" w:rsidRDefault="005074A4">
      <w:r>
        <w:separator/>
      </w:r>
    </w:p>
  </w:footnote>
  <w:footnote w:type="continuationSeparator" w:id="0">
    <w:p w:rsidR="005074A4" w:rsidRDefault="00507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166" w:rsidRDefault="003A21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166" w:rsidRDefault="003A21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166" w:rsidRDefault="003A21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8D63837"/>
    <w:multiLevelType w:val="hybridMultilevel"/>
    <w:tmpl w:val="A67A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6">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nsid w:val="586608D4"/>
    <w:multiLevelType w:val="hybridMultilevel"/>
    <w:tmpl w:val="9580C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nsid w:val="73554266"/>
    <w:multiLevelType w:val="hybridMultilevel"/>
    <w:tmpl w:val="0448A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5"/>
  </w:num>
  <w:num w:numId="4">
    <w:abstractNumId w:val="9"/>
  </w:num>
  <w:num w:numId="5">
    <w:abstractNumId w:val="0"/>
  </w:num>
  <w:num w:numId="6">
    <w:abstractNumId w:val="12"/>
  </w:num>
  <w:num w:numId="7">
    <w:abstractNumId w:val="8"/>
  </w:num>
  <w:num w:numId="8">
    <w:abstractNumId w:val="7"/>
  </w:num>
  <w:num w:numId="9">
    <w:abstractNumId w:val="11"/>
  </w:num>
  <w:num w:numId="10">
    <w:abstractNumId w:val="17"/>
  </w:num>
  <w:num w:numId="11">
    <w:abstractNumId w:val="10"/>
  </w:num>
  <w:num w:numId="12">
    <w:abstractNumId w:val="6"/>
  </w:num>
  <w:num w:numId="13">
    <w:abstractNumId w:val="16"/>
  </w:num>
  <w:num w:numId="14">
    <w:abstractNumId w:val="2"/>
  </w:num>
  <w:num w:numId="15">
    <w:abstractNumId w:val="4"/>
  </w:num>
  <w:num w:numId="16">
    <w:abstractNumId w:val="15"/>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5EDF"/>
    <w:rsid w:val="000073EC"/>
    <w:rsid w:val="00010EFC"/>
    <w:rsid w:val="0001137A"/>
    <w:rsid w:val="00012AC1"/>
    <w:rsid w:val="0001377E"/>
    <w:rsid w:val="00014D9F"/>
    <w:rsid w:val="00016FCA"/>
    <w:rsid w:val="00023A77"/>
    <w:rsid w:val="00023FC7"/>
    <w:rsid w:val="00025361"/>
    <w:rsid w:val="00027192"/>
    <w:rsid w:val="000305D0"/>
    <w:rsid w:val="000330B0"/>
    <w:rsid w:val="0003379F"/>
    <w:rsid w:val="000342CA"/>
    <w:rsid w:val="00035A14"/>
    <w:rsid w:val="00036C80"/>
    <w:rsid w:val="0003797B"/>
    <w:rsid w:val="0004243C"/>
    <w:rsid w:val="0004455F"/>
    <w:rsid w:val="00044EB7"/>
    <w:rsid w:val="00044FDD"/>
    <w:rsid w:val="000453DD"/>
    <w:rsid w:val="00046C14"/>
    <w:rsid w:val="00046E0A"/>
    <w:rsid w:val="00046F05"/>
    <w:rsid w:val="000478F9"/>
    <w:rsid w:val="000500B3"/>
    <w:rsid w:val="0005080E"/>
    <w:rsid w:val="000629C0"/>
    <w:rsid w:val="00064C73"/>
    <w:rsid w:val="00072418"/>
    <w:rsid w:val="00073168"/>
    <w:rsid w:val="0007487D"/>
    <w:rsid w:val="00075F4A"/>
    <w:rsid w:val="00077A38"/>
    <w:rsid w:val="000864D4"/>
    <w:rsid w:val="000904A3"/>
    <w:rsid w:val="00091573"/>
    <w:rsid w:val="000937C2"/>
    <w:rsid w:val="0009382C"/>
    <w:rsid w:val="0009688E"/>
    <w:rsid w:val="000A0D20"/>
    <w:rsid w:val="000A2F0C"/>
    <w:rsid w:val="000A2F28"/>
    <w:rsid w:val="000A5451"/>
    <w:rsid w:val="000A55A3"/>
    <w:rsid w:val="000A5D24"/>
    <w:rsid w:val="000A636F"/>
    <w:rsid w:val="000A75BA"/>
    <w:rsid w:val="000B0507"/>
    <w:rsid w:val="000B285E"/>
    <w:rsid w:val="000B4672"/>
    <w:rsid w:val="000B78C8"/>
    <w:rsid w:val="000C07A7"/>
    <w:rsid w:val="000C08A6"/>
    <w:rsid w:val="000C1DC8"/>
    <w:rsid w:val="000C43BC"/>
    <w:rsid w:val="000C5F90"/>
    <w:rsid w:val="000C7479"/>
    <w:rsid w:val="000C7AB6"/>
    <w:rsid w:val="000D1EF0"/>
    <w:rsid w:val="000D249B"/>
    <w:rsid w:val="000D4B0F"/>
    <w:rsid w:val="000D5719"/>
    <w:rsid w:val="000D6080"/>
    <w:rsid w:val="000E0ED8"/>
    <w:rsid w:val="000E175D"/>
    <w:rsid w:val="000E5049"/>
    <w:rsid w:val="000E626B"/>
    <w:rsid w:val="000F477B"/>
    <w:rsid w:val="000F73B3"/>
    <w:rsid w:val="0010221A"/>
    <w:rsid w:val="00104622"/>
    <w:rsid w:val="00105304"/>
    <w:rsid w:val="00112229"/>
    <w:rsid w:val="001132C4"/>
    <w:rsid w:val="001150C0"/>
    <w:rsid w:val="00115847"/>
    <w:rsid w:val="00117B13"/>
    <w:rsid w:val="001225D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3B9A"/>
    <w:rsid w:val="00196DAC"/>
    <w:rsid w:val="001A010F"/>
    <w:rsid w:val="001A0C71"/>
    <w:rsid w:val="001A1110"/>
    <w:rsid w:val="001A12D0"/>
    <w:rsid w:val="001A1929"/>
    <w:rsid w:val="001B2A16"/>
    <w:rsid w:val="001B49BE"/>
    <w:rsid w:val="001B5D01"/>
    <w:rsid w:val="001B6EF4"/>
    <w:rsid w:val="001C254F"/>
    <w:rsid w:val="001C5B87"/>
    <w:rsid w:val="001D0139"/>
    <w:rsid w:val="001D5835"/>
    <w:rsid w:val="001E117F"/>
    <w:rsid w:val="001E4A84"/>
    <w:rsid w:val="001F23B1"/>
    <w:rsid w:val="001F3008"/>
    <w:rsid w:val="001F55CF"/>
    <w:rsid w:val="001F682C"/>
    <w:rsid w:val="0020036B"/>
    <w:rsid w:val="002007E6"/>
    <w:rsid w:val="00204CB8"/>
    <w:rsid w:val="0020520B"/>
    <w:rsid w:val="00206BB7"/>
    <w:rsid w:val="0020781F"/>
    <w:rsid w:val="0021010F"/>
    <w:rsid w:val="00211036"/>
    <w:rsid w:val="002138D9"/>
    <w:rsid w:val="002141CC"/>
    <w:rsid w:val="00216BBF"/>
    <w:rsid w:val="0022089C"/>
    <w:rsid w:val="00221403"/>
    <w:rsid w:val="002217D3"/>
    <w:rsid w:val="00223371"/>
    <w:rsid w:val="00223D6E"/>
    <w:rsid w:val="00235BAE"/>
    <w:rsid w:val="00237C7C"/>
    <w:rsid w:val="00242658"/>
    <w:rsid w:val="002428B0"/>
    <w:rsid w:val="002429B3"/>
    <w:rsid w:val="00246093"/>
    <w:rsid w:val="00247CE3"/>
    <w:rsid w:val="00247DEE"/>
    <w:rsid w:val="00257D91"/>
    <w:rsid w:val="00260462"/>
    <w:rsid w:val="002645B8"/>
    <w:rsid w:val="00266495"/>
    <w:rsid w:val="00266DE0"/>
    <w:rsid w:val="0026717D"/>
    <w:rsid w:val="002717A1"/>
    <w:rsid w:val="00272748"/>
    <w:rsid w:val="00273CB9"/>
    <w:rsid w:val="00274850"/>
    <w:rsid w:val="00275E50"/>
    <w:rsid w:val="002778D5"/>
    <w:rsid w:val="0028140B"/>
    <w:rsid w:val="00282F64"/>
    <w:rsid w:val="00283A56"/>
    <w:rsid w:val="00285E68"/>
    <w:rsid w:val="0028619D"/>
    <w:rsid w:val="00286932"/>
    <w:rsid w:val="00291D9A"/>
    <w:rsid w:val="00292412"/>
    <w:rsid w:val="00293163"/>
    <w:rsid w:val="0029522E"/>
    <w:rsid w:val="00296B60"/>
    <w:rsid w:val="00297982"/>
    <w:rsid w:val="002B0A2B"/>
    <w:rsid w:val="002B35E5"/>
    <w:rsid w:val="002B4200"/>
    <w:rsid w:val="002B547C"/>
    <w:rsid w:val="002B5C9F"/>
    <w:rsid w:val="002B618D"/>
    <w:rsid w:val="002B77AA"/>
    <w:rsid w:val="002B78E9"/>
    <w:rsid w:val="002C1A11"/>
    <w:rsid w:val="002C1D8E"/>
    <w:rsid w:val="002C224F"/>
    <w:rsid w:val="002C3AE4"/>
    <w:rsid w:val="002C5688"/>
    <w:rsid w:val="002C75DF"/>
    <w:rsid w:val="002D06E4"/>
    <w:rsid w:val="002D4C8E"/>
    <w:rsid w:val="002E16A3"/>
    <w:rsid w:val="002E4E3C"/>
    <w:rsid w:val="002F02F3"/>
    <w:rsid w:val="002F12A3"/>
    <w:rsid w:val="002F2C20"/>
    <w:rsid w:val="002F2DCF"/>
    <w:rsid w:val="002F3973"/>
    <w:rsid w:val="002F448F"/>
    <w:rsid w:val="002F4632"/>
    <w:rsid w:val="002F70BF"/>
    <w:rsid w:val="00301969"/>
    <w:rsid w:val="003104E4"/>
    <w:rsid w:val="003107E0"/>
    <w:rsid w:val="00310E4F"/>
    <w:rsid w:val="0031343C"/>
    <w:rsid w:val="003135AC"/>
    <w:rsid w:val="003155EE"/>
    <w:rsid w:val="00316228"/>
    <w:rsid w:val="00320F94"/>
    <w:rsid w:val="0032115F"/>
    <w:rsid w:val="00321CE8"/>
    <w:rsid w:val="00322E8A"/>
    <w:rsid w:val="0032528B"/>
    <w:rsid w:val="00325757"/>
    <w:rsid w:val="0033019E"/>
    <w:rsid w:val="003310C5"/>
    <w:rsid w:val="003334A5"/>
    <w:rsid w:val="00333A95"/>
    <w:rsid w:val="00343B0E"/>
    <w:rsid w:val="00344EE8"/>
    <w:rsid w:val="00345290"/>
    <w:rsid w:val="00345CCF"/>
    <w:rsid w:val="00345DB5"/>
    <w:rsid w:val="00346886"/>
    <w:rsid w:val="003530C7"/>
    <w:rsid w:val="00353B86"/>
    <w:rsid w:val="003568C7"/>
    <w:rsid w:val="0036103A"/>
    <w:rsid w:val="00362FD2"/>
    <w:rsid w:val="00363B0A"/>
    <w:rsid w:val="003648CC"/>
    <w:rsid w:val="0036703C"/>
    <w:rsid w:val="0036727E"/>
    <w:rsid w:val="0036784D"/>
    <w:rsid w:val="00372682"/>
    <w:rsid w:val="00372D60"/>
    <w:rsid w:val="00373564"/>
    <w:rsid w:val="003757FD"/>
    <w:rsid w:val="00380C41"/>
    <w:rsid w:val="00381341"/>
    <w:rsid w:val="00381652"/>
    <w:rsid w:val="00384335"/>
    <w:rsid w:val="00384DDA"/>
    <w:rsid w:val="00384F67"/>
    <w:rsid w:val="00390A6C"/>
    <w:rsid w:val="00390B19"/>
    <w:rsid w:val="003948A1"/>
    <w:rsid w:val="00394941"/>
    <w:rsid w:val="00395398"/>
    <w:rsid w:val="00396E00"/>
    <w:rsid w:val="003A08FD"/>
    <w:rsid w:val="003A20EF"/>
    <w:rsid w:val="003A2166"/>
    <w:rsid w:val="003A5D06"/>
    <w:rsid w:val="003A68A9"/>
    <w:rsid w:val="003A7515"/>
    <w:rsid w:val="003B1C02"/>
    <w:rsid w:val="003B2FDA"/>
    <w:rsid w:val="003B4045"/>
    <w:rsid w:val="003B47F5"/>
    <w:rsid w:val="003B4B1B"/>
    <w:rsid w:val="003C0866"/>
    <w:rsid w:val="003C2E87"/>
    <w:rsid w:val="003C4904"/>
    <w:rsid w:val="003C4B9A"/>
    <w:rsid w:val="003C5326"/>
    <w:rsid w:val="003C5670"/>
    <w:rsid w:val="003C660F"/>
    <w:rsid w:val="003C6FA3"/>
    <w:rsid w:val="003C741C"/>
    <w:rsid w:val="003D2356"/>
    <w:rsid w:val="003D2459"/>
    <w:rsid w:val="003D2EA5"/>
    <w:rsid w:val="003D3317"/>
    <w:rsid w:val="003D3514"/>
    <w:rsid w:val="003D45BD"/>
    <w:rsid w:val="003D76C4"/>
    <w:rsid w:val="003E0C5D"/>
    <w:rsid w:val="003E67C1"/>
    <w:rsid w:val="003F2D12"/>
    <w:rsid w:val="003F559A"/>
    <w:rsid w:val="003F76A5"/>
    <w:rsid w:val="004009FF"/>
    <w:rsid w:val="004021AF"/>
    <w:rsid w:val="0040627C"/>
    <w:rsid w:val="00407759"/>
    <w:rsid w:val="00411772"/>
    <w:rsid w:val="004134AD"/>
    <w:rsid w:val="00416435"/>
    <w:rsid w:val="004166E7"/>
    <w:rsid w:val="00416B3D"/>
    <w:rsid w:val="004201E6"/>
    <w:rsid w:val="00421361"/>
    <w:rsid w:val="004215DC"/>
    <w:rsid w:val="004248FC"/>
    <w:rsid w:val="0043088F"/>
    <w:rsid w:val="004310EF"/>
    <w:rsid w:val="004313BC"/>
    <w:rsid w:val="00431431"/>
    <w:rsid w:val="00433A41"/>
    <w:rsid w:val="00434F0D"/>
    <w:rsid w:val="004366FE"/>
    <w:rsid w:val="00437B8F"/>
    <w:rsid w:val="00441B2A"/>
    <w:rsid w:val="004420D7"/>
    <w:rsid w:val="00443FA2"/>
    <w:rsid w:val="00444701"/>
    <w:rsid w:val="0044541D"/>
    <w:rsid w:val="00446516"/>
    <w:rsid w:val="00446DF3"/>
    <w:rsid w:val="00446FBF"/>
    <w:rsid w:val="004534C3"/>
    <w:rsid w:val="00453B73"/>
    <w:rsid w:val="0045518E"/>
    <w:rsid w:val="0045654C"/>
    <w:rsid w:val="00460ECF"/>
    <w:rsid w:val="00462CF9"/>
    <w:rsid w:val="0046401A"/>
    <w:rsid w:val="0046425E"/>
    <w:rsid w:val="00465820"/>
    <w:rsid w:val="0048189F"/>
    <w:rsid w:val="004927A8"/>
    <w:rsid w:val="00494F66"/>
    <w:rsid w:val="004978F6"/>
    <w:rsid w:val="004A386D"/>
    <w:rsid w:val="004A494C"/>
    <w:rsid w:val="004A6712"/>
    <w:rsid w:val="004B0191"/>
    <w:rsid w:val="004B0C53"/>
    <w:rsid w:val="004B1244"/>
    <w:rsid w:val="004B16D9"/>
    <w:rsid w:val="004B4A42"/>
    <w:rsid w:val="004C1479"/>
    <w:rsid w:val="004C2399"/>
    <w:rsid w:val="004C4EAB"/>
    <w:rsid w:val="004C6E81"/>
    <w:rsid w:val="004D14BB"/>
    <w:rsid w:val="004D21B1"/>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4B0D"/>
    <w:rsid w:val="005053EA"/>
    <w:rsid w:val="00505D98"/>
    <w:rsid w:val="005066DA"/>
    <w:rsid w:val="005074A4"/>
    <w:rsid w:val="00507634"/>
    <w:rsid w:val="00507EE9"/>
    <w:rsid w:val="00511348"/>
    <w:rsid w:val="00515BF5"/>
    <w:rsid w:val="0051747F"/>
    <w:rsid w:val="00517D0E"/>
    <w:rsid w:val="005227BD"/>
    <w:rsid w:val="00522C94"/>
    <w:rsid w:val="00525760"/>
    <w:rsid w:val="005302C7"/>
    <w:rsid w:val="00531565"/>
    <w:rsid w:val="00533CFF"/>
    <w:rsid w:val="0053506A"/>
    <w:rsid w:val="00535E81"/>
    <w:rsid w:val="00537677"/>
    <w:rsid w:val="00542824"/>
    <w:rsid w:val="0054299A"/>
    <w:rsid w:val="00542D7A"/>
    <w:rsid w:val="00543D92"/>
    <w:rsid w:val="00547968"/>
    <w:rsid w:val="00547C8C"/>
    <w:rsid w:val="00547EB4"/>
    <w:rsid w:val="00550446"/>
    <w:rsid w:val="00552353"/>
    <w:rsid w:val="00554213"/>
    <w:rsid w:val="00555369"/>
    <w:rsid w:val="00556FE5"/>
    <w:rsid w:val="005604AF"/>
    <w:rsid w:val="005614F5"/>
    <w:rsid w:val="00561739"/>
    <w:rsid w:val="00564A08"/>
    <w:rsid w:val="005664F2"/>
    <w:rsid w:val="00570389"/>
    <w:rsid w:val="005707CD"/>
    <w:rsid w:val="0057298F"/>
    <w:rsid w:val="00572DC3"/>
    <w:rsid w:val="00574FC7"/>
    <w:rsid w:val="00576EE9"/>
    <w:rsid w:val="005773A4"/>
    <w:rsid w:val="00581CF4"/>
    <w:rsid w:val="00587F61"/>
    <w:rsid w:val="00590045"/>
    <w:rsid w:val="005917EB"/>
    <w:rsid w:val="00594EA3"/>
    <w:rsid w:val="00596187"/>
    <w:rsid w:val="00597693"/>
    <w:rsid w:val="005A1D0C"/>
    <w:rsid w:val="005A2195"/>
    <w:rsid w:val="005A2C78"/>
    <w:rsid w:val="005A509A"/>
    <w:rsid w:val="005A5F49"/>
    <w:rsid w:val="005B0AEA"/>
    <w:rsid w:val="005B63FC"/>
    <w:rsid w:val="005C0734"/>
    <w:rsid w:val="005C36AC"/>
    <w:rsid w:val="005C4116"/>
    <w:rsid w:val="005C4343"/>
    <w:rsid w:val="005C4646"/>
    <w:rsid w:val="005C78B6"/>
    <w:rsid w:val="005D4144"/>
    <w:rsid w:val="005D52DF"/>
    <w:rsid w:val="005D56A7"/>
    <w:rsid w:val="005D5C93"/>
    <w:rsid w:val="005E48DF"/>
    <w:rsid w:val="005E4EED"/>
    <w:rsid w:val="005E5EB8"/>
    <w:rsid w:val="005F344A"/>
    <w:rsid w:val="005F574C"/>
    <w:rsid w:val="005F6B8F"/>
    <w:rsid w:val="00600966"/>
    <w:rsid w:val="00600B21"/>
    <w:rsid w:val="00607F0E"/>
    <w:rsid w:val="00611D99"/>
    <w:rsid w:val="00614B0D"/>
    <w:rsid w:val="006162B4"/>
    <w:rsid w:val="00617BBF"/>
    <w:rsid w:val="00617F3D"/>
    <w:rsid w:val="006220FA"/>
    <w:rsid w:val="00627BA2"/>
    <w:rsid w:val="00627E61"/>
    <w:rsid w:val="0063420E"/>
    <w:rsid w:val="00634AD4"/>
    <w:rsid w:val="0063591D"/>
    <w:rsid w:val="00636BA6"/>
    <w:rsid w:val="00645CE3"/>
    <w:rsid w:val="006460A5"/>
    <w:rsid w:val="006511FA"/>
    <w:rsid w:val="00652B5F"/>
    <w:rsid w:val="00653501"/>
    <w:rsid w:val="006566A4"/>
    <w:rsid w:val="00656DEB"/>
    <w:rsid w:val="00660C7D"/>
    <w:rsid w:val="00661BC7"/>
    <w:rsid w:val="00663065"/>
    <w:rsid w:val="006727C9"/>
    <w:rsid w:val="00673356"/>
    <w:rsid w:val="00680723"/>
    <w:rsid w:val="00681336"/>
    <w:rsid w:val="006819A1"/>
    <w:rsid w:val="00682B8F"/>
    <w:rsid w:val="00682FF7"/>
    <w:rsid w:val="00684302"/>
    <w:rsid w:val="00685A71"/>
    <w:rsid w:val="00686918"/>
    <w:rsid w:val="006878C1"/>
    <w:rsid w:val="0069063C"/>
    <w:rsid w:val="00690F92"/>
    <w:rsid w:val="00691F5F"/>
    <w:rsid w:val="00693CFD"/>
    <w:rsid w:val="006945B0"/>
    <w:rsid w:val="006A428F"/>
    <w:rsid w:val="006A47DA"/>
    <w:rsid w:val="006A502E"/>
    <w:rsid w:val="006B09AB"/>
    <w:rsid w:val="006B2BFF"/>
    <w:rsid w:val="006B30AA"/>
    <w:rsid w:val="006B343A"/>
    <w:rsid w:val="006B5A3E"/>
    <w:rsid w:val="006B5F1E"/>
    <w:rsid w:val="006B7958"/>
    <w:rsid w:val="006C0FE1"/>
    <w:rsid w:val="006C6EB9"/>
    <w:rsid w:val="006D0A65"/>
    <w:rsid w:val="006D139A"/>
    <w:rsid w:val="006D1EB9"/>
    <w:rsid w:val="006D2C28"/>
    <w:rsid w:val="006D33E3"/>
    <w:rsid w:val="006D3D7F"/>
    <w:rsid w:val="006D5FAE"/>
    <w:rsid w:val="006D7AE7"/>
    <w:rsid w:val="006E02B0"/>
    <w:rsid w:val="006E5EC2"/>
    <w:rsid w:val="006E7113"/>
    <w:rsid w:val="006F26E2"/>
    <w:rsid w:val="006F4B7F"/>
    <w:rsid w:val="006F69C8"/>
    <w:rsid w:val="00702EC4"/>
    <w:rsid w:val="0070318E"/>
    <w:rsid w:val="0070482D"/>
    <w:rsid w:val="00704DCD"/>
    <w:rsid w:val="0070512F"/>
    <w:rsid w:val="00706391"/>
    <w:rsid w:val="00710AB2"/>
    <w:rsid w:val="007152E5"/>
    <w:rsid w:val="0071650B"/>
    <w:rsid w:val="00716B1D"/>
    <w:rsid w:val="0072139B"/>
    <w:rsid w:val="00726C9B"/>
    <w:rsid w:val="007300EF"/>
    <w:rsid w:val="00730C09"/>
    <w:rsid w:val="0073351B"/>
    <w:rsid w:val="007338BF"/>
    <w:rsid w:val="00736EED"/>
    <w:rsid w:val="00737849"/>
    <w:rsid w:val="00737E70"/>
    <w:rsid w:val="0074056F"/>
    <w:rsid w:val="00740ED4"/>
    <w:rsid w:val="007453D0"/>
    <w:rsid w:val="007522D4"/>
    <w:rsid w:val="00752750"/>
    <w:rsid w:val="00755451"/>
    <w:rsid w:val="007558A9"/>
    <w:rsid w:val="00762463"/>
    <w:rsid w:val="00762814"/>
    <w:rsid w:val="00767206"/>
    <w:rsid w:val="00767802"/>
    <w:rsid w:val="00770368"/>
    <w:rsid w:val="00771EF0"/>
    <w:rsid w:val="0077248B"/>
    <w:rsid w:val="00775AEC"/>
    <w:rsid w:val="0078039A"/>
    <w:rsid w:val="00781D59"/>
    <w:rsid w:val="00785689"/>
    <w:rsid w:val="007912BE"/>
    <w:rsid w:val="007915DB"/>
    <w:rsid w:val="00793480"/>
    <w:rsid w:val="007A02F8"/>
    <w:rsid w:val="007A50D4"/>
    <w:rsid w:val="007A5D38"/>
    <w:rsid w:val="007B19EA"/>
    <w:rsid w:val="007B46A4"/>
    <w:rsid w:val="007B5EA5"/>
    <w:rsid w:val="007B61A4"/>
    <w:rsid w:val="007B7BCB"/>
    <w:rsid w:val="007C22AC"/>
    <w:rsid w:val="007C5834"/>
    <w:rsid w:val="007C5D2A"/>
    <w:rsid w:val="007D3F96"/>
    <w:rsid w:val="007D735B"/>
    <w:rsid w:val="007E0E63"/>
    <w:rsid w:val="007E190D"/>
    <w:rsid w:val="007E2504"/>
    <w:rsid w:val="007E2C1B"/>
    <w:rsid w:val="007E3E1C"/>
    <w:rsid w:val="007E4457"/>
    <w:rsid w:val="007E567E"/>
    <w:rsid w:val="007E645C"/>
    <w:rsid w:val="00805A27"/>
    <w:rsid w:val="00811EFF"/>
    <w:rsid w:val="00812031"/>
    <w:rsid w:val="00813496"/>
    <w:rsid w:val="008147EA"/>
    <w:rsid w:val="00815BF2"/>
    <w:rsid w:val="00815FF5"/>
    <w:rsid w:val="008177B2"/>
    <w:rsid w:val="008179F9"/>
    <w:rsid w:val="008221A0"/>
    <w:rsid w:val="008227B1"/>
    <w:rsid w:val="008234B2"/>
    <w:rsid w:val="0082596A"/>
    <w:rsid w:val="00825E3F"/>
    <w:rsid w:val="00825F65"/>
    <w:rsid w:val="008277DA"/>
    <w:rsid w:val="00827FB6"/>
    <w:rsid w:val="00832A74"/>
    <w:rsid w:val="008367AD"/>
    <w:rsid w:val="008409DB"/>
    <w:rsid w:val="008419F1"/>
    <w:rsid w:val="00843661"/>
    <w:rsid w:val="00845DCA"/>
    <w:rsid w:val="008538D9"/>
    <w:rsid w:val="0086020F"/>
    <w:rsid w:val="0086354C"/>
    <w:rsid w:val="008640F8"/>
    <w:rsid w:val="00864609"/>
    <w:rsid w:val="00866A15"/>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D0AF4"/>
    <w:rsid w:val="008D326B"/>
    <w:rsid w:val="008D6A16"/>
    <w:rsid w:val="008E00BD"/>
    <w:rsid w:val="008E0342"/>
    <w:rsid w:val="008E0E7D"/>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7E96"/>
    <w:rsid w:val="0091070B"/>
    <w:rsid w:val="00910F5C"/>
    <w:rsid w:val="00912D67"/>
    <w:rsid w:val="00915B2A"/>
    <w:rsid w:val="00916652"/>
    <w:rsid w:val="009166E4"/>
    <w:rsid w:val="00920BB9"/>
    <w:rsid w:val="00926703"/>
    <w:rsid w:val="00933794"/>
    <w:rsid w:val="00935789"/>
    <w:rsid w:val="00937B8A"/>
    <w:rsid w:val="00937C28"/>
    <w:rsid w:val="009406F6"/>
    <w:rsid w:val="009445E9"/>
    <w:rsid w:val="00944B79"/>
    <w:rsid w:val="00945882"/>
    <w:rsid w:val="009502C1"/>
    <w:rsid w:val="009534B8"/>
    <w:rsid w:val="00961181"/>
    <w:rsid w:val="0096119F"/>
    <w:rsid w:val="00962204"/>
    <w:rsid w:val="00964F20"/>
    <w:rsid w:val="00965A9C"/>
    <w:rsid w:val="00966E3E"/>
    <w:rsid w:val="009675C7"/>
    <w:rsid w:val="00967BC2"/>
    <w:rsid w:val="0097204B"/>
    <w:rsid w:val="00972288"/>
    <w:rsid w:val="00976247"/>
    <w:rsid w:val="0098221A"/>
    <w:rsid w:val="009837BB"/>
    <w:rsid w:val="009858B6"/>
    <w:rsid w:val="0098640D"/>
    <w:rsid w:val="009905A7"/>
    <w:rsid w:val="00994B86"/>
    <w:rsid w:val="009A4DFC"/>
    <w:rsid w:val="009A5444"/>
    <w:rsid w:val="009A5DDC"/>
    <w:rsid w:val="009A6621"/>
    <w:rsid w:val="009B0DEA"/>
    <w:rsid w:val="009B5998"/>
    <w:rsid w:val="009C0634"/>
    <w:rsid w:val="009C24B6"/>
    <w:rsid w:val="009C2CAE"/>
    <w:rsid w:val="009C4FCB"/>
    <w:rsid w:val="009C5265"/>
    <w:rsid w:val="009C6160"/>
    <w:rsid w:val="009C6BF3"/>
    <w:rsid w:val="009C7466"/>
    <w:rsid w:val="009C7E4D"/>
    <w:rsid w:val="009D33A2"/>
    <w:rsid w:val="009D395B"/>
    <w:rsid w:val="009D3C3D"/>
    <w:rsid w:val="009D5A92"/>
    <w:rsid w:val="009D623B"/>
    <w:rsid w:val="009D630F"/>
    <w:rsid w:val="009D6312"/>
    <w:rsid w:val="009E3458"/>
    <w:rsid w:val="009E4060"/>
    <w:rsid w:val="009E528A"/>
    <w:rsid w:val="009E71AD"/>
    <w:rsid w:val="009F10A5"/>
    <w:rsid w:val="009F2677"/>
    <w:rsid w:val="009F3D0B"/>
    <w:rsid w:val="009F3D23"/>
    <w:rsid w:val="00A02006"/>
    <w:rsid w:val="00A0237C"/>
    <w:rsid w:val="00A04635"/>
    <w:rsid w:val="00A07B36"/>
    <w:rsid w:val="00A106E7"/>
    <w:rsid w:val="00A12CDA"/>
    <w:rsid w:val="00A15965"/>
    <w:rsid w:val="00A16004"/>
    <w:rsid w:val="00A23116"/>
    <w:rsid w:val="00A2573D"/>
    <w:rsid w:val="00A26B05"/>
    <w:rsid w:val="00A2736E"/>
    <w:rsid w:val="00A36300"/>
    <w:rsid w:val="00A36AFF"/>
    <w:rsid w:val="00A41985"/>
    <w:rsid w:val="00A41CF0"/>
    <w:rsid w:val="00A4278A"/>
    <w:rsid w:val="00A50C3C"/>
    <w:rsid w:val="00A50D75"/>
    <w:rsid w:val="00A5160D"/>
    <w:rsid w:val="00A5418D"/>
    <w:rsid w:val="00A55BC8"/>
    <w:rsid w:val="00A56DA4"/>
    <w:rsid w:val="00A56FA8"/>
    <w:rsid w:val="00A6209D"/>
    <w:rsid w:val="00A65952"/>
    <w:rsid w:val="00A661E2"/>
    <w:rsid w:val="00A66BBD"/>
    <w:rsid w:val="00A67B41"/>
    <w:rsid w:val="00A67C80"/>
    <w:rsid w:val="00A75B1A"/>
    <w:rsid w:val="00A77112"/>
    <w:rsid w:val="00A7797F"/>
    <w:rsid w:val="00A8018E"/>
    <w:rsid w:val="00A81885"/>
    <w:rsid w:val="00A82815"/>
    <w:rsid w:val="00A835E4"/>
    <w:rsid w:val="00A853EE"/>
    <w:rsid w:val="00A909AC"/>
    <w:rsid w:val="00A95CDF"/>
    <w:rsid w:val="00A9700C"/>
    <w:rsid w:val="00A97355"/>
    <w:rsid w:val="00AA0891"/>
    <w:rsid w:val="00AA09B3"/>
    <w:rsid w:val="00AA2871"/>
    <w:rsid w:val="00AA48C4"/>
    <w:rsid w:val="00AA5E90"/>
    <w:rsid w:val="00AB07BE"/>
    <w:rsid w:val="00AB0E8D"/>
    <w:rsid w:val="00AB1699"/>
    <w:rsid w:val="00AB353A"/>
    <w:rsid w:val="00AD170F"/>
    <w:rsid w:val="00AD30F5"/>
    <w:rsid w:val="00AD32AD"/>
    <w:rsid w:val="00AD5142"/>
    <w:rsid w:val="00AD5A0D"/>
    <w:rsid w:val="00AD67A0"/>
    <w:rsid w:val="00AD7DB4"/>
    <w:rsid w:val="00AE3E47"/>
    <w:rsid w:val="00AE46D6"/>
    <w:rsid w:val="00AF19C2"/>
    <w:rsid w:val="00AF27DE"/>
    <w:rsid w:val="00AF45C0"/>
    <w:rsid w:val="00AF6ABE"/>
    <w:rsid w:val="00AF6F21"/>
    <w:rsid w:val="00B00561"/>
    <w:rsid w:val="00B015E3"/>
    <w:rsid w:val="00B03582"/>
    <w:rsid w:val="00B03A56"/>
    <w:rsid w:val="00B0491E"/>
    <w:rsid w:val="00B07509"/>
    <w:rsid w:val="00B10371"/>
    <w:rsid w:val="00B12988"/>
    <w:rsid w:val="00B1701E"/>
    <w:rsid w:val="00B20B5C"/>
    <w:rsid w:val="00B20F5A"/>
    <w:rsid w:val="00B21C69"/>
    <w:rsid w:val="00B229F4"/>
    <w:rsid w:val="00B23114"/>
    <w:rsid w:val="00B2311C"/>
    <w:rsid w:val="00B234CC"/>
    <w:rsid w:val="00B25656"/>
    <w:rsid w:val="00B2705D"/>
    <w:rsid w:val="00B31029"/>
    <w:rsid w:val="00B334C3"/>
    <w:rsid w:val="00B33624"/>
    <w:rsid w:val="00B37298"/>
    <w:rsid w:val="00B47BAE"/>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6D55"/>
    <w:rsid w:val="00B83114"/>
    <w:rsid w:val="00B83C9B"/>
    <w:rsid w:val="00B92210"/>
    <w:rsid w:val="00B922F3"/>
    <w:rsid w:val="00B92A4F"/>
    <w:rsid w:val="00B92E57"/>
    <w:rsid w:val="00B93EC1"/>
    <w:rsid w:val="00B94B68"/>
    <w:rsid w:val="00B958E8"/>
    <w:rsid w:val="00B96F97"/>
    <w:rsid w:val="00B973D5"/>
    <w:rsid w:val="00B97496"/>
    <w:rsid w:val="00B9753F"/>
    <w:rsid w:val="00B97817"/>
    <w:rsid w:val="00BA0078"/>
    <w:rsid w:val="00BA12BD"/>
    <w:rsid w:val="00BA2F2C"/>
    <w:rsid w:val="00BA5827"/>
    <w:rsid w:val="00BA6384"/>
    <w:rsid w:val="00BA654A"/>
    <w:rsid w:val="00BB3BE7"/>
    <w:rsid w:val="00BB61A2"/>
    <w:rsid w:val="00BC33DB"/>
    <w:rsid w:val="00BC3BCD"/>
    <w:rsid w:val="00BC7D5F"/>
    <w:rsid w:val="00BD0BE1"/>
    <w:rsid w:val="00BD1792"/>
    <w:rsid w:val="00BD2BB6"/>
    <w:rsid w:val="00BD2D13"/>
    <w:rsid w:val="00BD4E7F"/>
    <w:rsid w:val="00BD4EC8"/>
    <w:rsid w:val="00BE3BB2"/>
    <w:rsid w:val="00BE5BD2"/>
    <w:rsid w:val="00BE6D19"/>
    <w:rsid w:val="00BE7E29"/>
    <w:rsid w:val="00BF0C0A"/>
    <w:rsid w:val="00BF255C"/>
    <w:rsid w:val="00BF43B4"/>
    <w:rsid w:val="00BF5089"/>
    <w:rsid w:val="00BF79D0"/>
    <w:rsid w:val="00BF7AFE"/>
    <w:rsid w:val="00C01DDC"/>
    <w:rsid w:val="00C0202A"/>
    <w:rsid w:val="00C02F36"/>
    <w:rsid w:val="00C05BBC"/>
    <w:rsid w:val="00C100F2"/>
    <w:rsid w:val="00C12034"/>
    <w:rsid w:val="00C13D64"/>
    <w:rsid w:val="00C16853"/>
    <w:rsid w:val="00C17FA3"/>
    <w:rsid w:val="00C23DAA"/>
    <w:rsid w:val="00C337E2"/>
    <w:rsid w:val="00C36339"/>
    <w:rsid w:val="00C41073"/>
    <w:rsid w:val="00C411E2"/>
    <w:rsid w:val="00C428FC"/>
    <w:rsid w:val="00C45198"/>
    <w:rsid w:val="00C46A01"/>
    <w:rsid w:val="00C55BEE"/>
    <w:rsid w:val="00C5658B"/>
    <w:rsid w:val="00C57F11"/>
    <w:rsid w:val="00C60F91"/>
    <w:rsid w:val="00C61BFB"/>
    <w:rsid w:val="00C67A1B"/>
    <w:rsid w:val="00C72BAE"/>
    <w:rsid w:val="00C72D7F"/>
    <w:rsid w:val="00C763AF"/>
    <w:rsid w:val="00C810F1"/>
    <w:rsid w:val="00C83535"/>
    <w:rsid w:val="00C838B8"/>
    <w:rsid w:val="00C83CB4"/>
    <w:rsid w:val="00C85F09"/>
    <w:rsid w:val="00C870CB"/>
    <w:rsid w:val="00C91D2E"/>
    <w:rsid w:val="00C926F7"/>
    <w:rsid w:val="00C937B6"/>
    <w:rsid w:val="00C93ED9"/>
    <w:rsid w:val="00C940C8"/>
    <w:rsid w:val="00CA0248"/>
    <w:rsid w:val="00CA0DF2"/>
    <w:rsid w:val="00CA2CE2"/>
    <w:rsid w:val="00CA30B9"/>
    <w:rsid w:val="00CA5B91"/>
    <w:rsid w:val="00CA5D9B"/>
    <w:rsid w:val="00CA6031"/>
    <w:rsid w:val="00CA6535"/>
    <w:rsid w:val="00CB076A"/>
    <w:rsid w:val="00CB2ECD"/>
    <w:rsid w:val="00CB487C"/>
    <w:rsid w:val="00CB6737"/>
    <w:rsid w:val="00CB6E3A"/>
    <w:rsid w:val="00CC68F0"/>
    <w:rsid w:val="00CD2401"/>
    <w:rsid w:val="00CD343B"/>
    <w:rsid w:val="00CD729E"/>
    <w:rsid w:val="00CD7F82"/>
    <w:rsid w:val="00CE236A"/>
    <w:rsid w:val="00CF0519"/>
    <w:rsid w:val="00CF120B"/>
    <w:rsid w:val="00CF131F"/>
    <w:rsid w:val="00CF1878"/>
    <w:rsid w:val="00CF31EB"/>
    <w:rsid w:val="00D00C74"/>
    <w:rsid w:val="00D00CEE"/>
    <w:rsid w:val="00D0356F"/>
    <w:rsid w:val="00D05283"/>
    <w:rsid w:val="00D10D01"/>
    <w:rsid w:val="00D1763E"/>
    <w:rsid w:val="00D2501F"/>
    <w:rsid w:val="00D256C3"/>
    <w:rsid w:val="00D25DFB"/>
    <w:rsid w:val="00D26048"/>
    <w:rsid w:val="00D2682E"/>
    <w:rsid w:val="00D26CD5"/>
    <w:rsid w:val="00D300C6"/>
    <w:rsid w:val="00D35F3C"/>
    <w:rsid w:val="00D45071"/>
    <w:rsid w:val="00D46076"/>
    <w:rsid w:val="00D46533"/>
    <w:rsid w:val="00D50AD8"/>
    <w:rsid w:val="00D519EA"/>
    <w:rsid w:val="00D52556"/>
    <w:rsid w:val="00D5281E"/>
    <w:rsid w:val="00D53089"/>
    <w:rsid w:val="00D5547F"/>
    <w:rsid w:val="00D619CA"/>
    <w:rsid w:val="00D62581"/>
    <w:rsid w:val="00D63C3F"/>
    <w:rsid w:val="00D64BB6"/>
    <w:rsid w:val="00D702B4"/>
    <w:rsid w:val="00D75022"/>
    <w:rsid w:val="00D77864"/>
    <w:rsid w:val="00D77F8C"/>
    <w:rsid w:val="00D8003C"/>
    <w:rsid w:val="00D83397"/>
    <w:rsid w:val="00D86166"/>
    <w:rsid w:val="00D86181"/>
    <w:rsid w:val="00D8740C"/>
    <w:rsid w:val="00D877D4"/>
    <w:rsid w:val="00D90EAA"/>
    <w:rsid w:val="00D92C6B"/>
    <w:rsid w:val="00D95323"/>
    <w:rsid w:val="00D974A4"/>
    <w:rsid w:val="00D97CE4"/>
    <w:rsid w:val="00DA1238"/>
    <w:rsid w:val="00DA2F2E"/>
    <w:rsid w:val="00DA4CB8"/>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17D"/>
    <w:rsid w:val="00DD776E"/>
    <w:rsid w:val="00DE1019"/>
    <w:rsid w:val="00DE24B3"/>
    <w:rsid w:val="00DE6EE4"/>
    <w:rsid w:val="00DE7BCA"/>
    <w:rsid w:val="00DF1602"/>
    <w:rsid w:val="00DF1797"/>
    <w:rsid w:val="00DF1D9F"/>
    <w:rsid w:val="00DF22A0"/>
    <w:rsid w:val="00DF314C"/>
    <w:rsid w:val="00DF5554"/>
    <w:rsid w:val="00DF5993"/>
    <w:rsid w:val="00DF5F8F"/>
    <w:rsid w:val="00E0061E"/>
    <w:rsid w:val="00E00846"/>
    <w:rsid w:val="00E03640"/>
    <w:rsid w:val="00E05B44"/>
    <w:rsid w:val="00E109CA"/>
    <w:rsid w:val="00E12B34"/>
    <w:rsid w:val="00E1300B"/>
    <w:rsid w:val="00E13454"/>
    <w:rsid w:val="00E14BA7"/>
    <w:rsid w:val="00E16B70"/>
    <w:rsid w:val="00E16DDA"/>
    <w:rsid w:val="00E20092"/>
    <w:rsid w:val="00E21B57"/>
    <w:rsid w:val="00E26B6A"/>
    <w:rsid w:val="00E27522"/>
    <w:rsid w:val="00E3073A"/>
    <w:rsid w:val="00E3132E"/>
    <w:rsid w:val="00E31FCC"/>
    <w:rsid w:val="00E32E59"/>
    <w:rsid w:val="00E32F35"/>
    <w:rsid w:val="00E353BA"/>
    <w:rsid w:val="00E362ED"/>
    <w:rsid w:val="00E372B9"/>
    <w:rsid w:val="00E375D5"/>
    <w:rsid w:val="00E406C3"/>
    <w:rsid w:val="00E40944"/>
    <w:rsid w:val="00E435CC"/>
    <w:rsid w:val="00E44188"/>
    <w:rsid w:val="00E47A68"/>
    <w:rsid w:val="00E53948"/>
    <w:rsid w:val="00E54F9E"/>
    <w:rsid w:val="00E5522B"/>
    <w:rsid w:val="00E56094"/>
    <w:rsid w:val="00E56F0F"/>
    <w:rsid w:val="00E61432"/>
    <w:rsid w:val="00E626D3"/>
    <w:rsid w:val="00E6733B"/>
    <w:rsid w:val="00E70A92"/>
    <w:rsid w:val="00E72171"/>
    <w:rsid w:val="00E73972"/>
    <w:rsid w:val="00E76C6D"/>
    <w:rsid w:val="00E77276"/>
    <w:rsid w:val="00E80578"/>
    <w:rsid w:val="00E83133"/>
    <w:rsid w:val="00E842B7"/>
    <w:rsid w:val="00E85F43"/>
    <w:rsid w:val="00E932D5"/>
    <w:rsid w:val="00E9349E"/>
    <w:rsid w:val="00E93818"/>
    <w:rsid w:val="00E93A8C"/>
    <w:rsid w:val="00E941A4"/>
    <w:rsid w:val="00E9753C"/>
    <w:rsid w:val="00EA00B2"/>
    <w:rsid w:val="00EA0CA7"/>
    <w:rsid w:val="00EA7A97"/>
    <w:rsid w:val="00EB0CB0"/>
    <w:rsid w:val="00EB5000"/>
    <w:rsid w:val="00EB6925"/>
    <w:rsid w:val="00EB7787"/>
    <w:rsid w:val="00EB7FCE"/>
    <w:rsid w:val="00EC31E2"/>
    <w:rsid w:val="00EC3A9B"/>
    <w:rsid w:val="00EC3B07"/>
    <w:rsid w:val="00EC43BD"/>
    <w:rsid w:val="00EC4435"/>
    <w:rsid w:val="00EC4E74"/>
    <w:rsid w:val="00EC6830"/>
    <w:rsid w:val="00ED0AA5"/>
    <w:rsid w:val="00ED1C45"/>
    <w:rsid w:val="00ED2776"/>
    <w:rsid w:val="00ED3952"/>
    <w:rsid w:val="00ED672E"/>
    <w:rsid w:val="00ED7900"/>
    <w:rsid w:val="00EE0528"/>
    <w:rsid w:val="00EE0AC9"/>
    <w:rsid w:val="00EE25B5"/>
    <w:rsid w:val="00EE438B"/>
    <w:rsid w:val="00EE4826"/>
    <w:rsid w:val="00EE4A91"/>
    <w:rsid w:val="00EE5E22"/>
    <w:rsid w:val="00EE6800"/>
    <w:rsid w:val="00EE6C0D"/>
    <w:rsid w:val="00EE7914"/>
    <w:rsid w:val="00EF06D5"/>
    <w:rsid w:val="00EF20E0"/>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45B5"/>
    <w:rsid w:val="00F26F60"/>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1343"/>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0DBB"/>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34FB"/>
    <w:rsid w:val="00FD35E9"/>
    <w:rsid w:val="00FD5AD7"/>
    <w:rsid w:val="00FE18F5"/>
    <w:rsid w:val="00FE1CCA"/>
    <w:rsid w:val="00FE7F8A"/>
    <w:rsid w:val="00FF1EF7"/>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E3028-18B7-478F-B323-5950AB0A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61</TotalTime>
  <Pages>9</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Debtors Ledger and Creditors Ledger - Purge Options</dc:subject>
  <dc:creator>DCP</dc:creator>
  <cp:keywords>1.0</cp:keywords>
  <dc:description>This service pack improves the purge settings within Debtors Ledger and Creditors Ledger.</dc:description>
  <cp:lastModifiedBy>Robinson, Rick</cp:lastModifiedBy>
  <cp:revision>16</cp:revision>
  <cp:lastPrinted>2002-03-05T14:24:00Z</cp:lastPrinted>
  <dcterms:created xsi:type="dcterms:W3CDTF">2014-05-19T15:02:00Z</dcterms:created>
  <dcterms:modified xsi:type="dcterms:W3CDTF">2014-05-21T13:49:00Z</dcterms:modified>
</cp:coreProperties>
</file>