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B7" w:rsidRDefault="00234832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3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846827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3C76CB">
      <w:pPr>
        <w:pStyle w:val="Title"/>
      </w:pPr>
      <w:fldSimple w:instr=" SUBJECT  \* MERGEFORMAT ">
        <w:r w:rsidR="009723C3">
          <w:t>Global 3000 Cash Manager - Revisions to Bank Reconciliation Import</w:t>
        </w:r>
      </w:fldSimple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E842B7" w:rsidRDefault="004420D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 w:rsidR="00E842B7">
        <w:rPr>
          <w:rFonts w:ascii="Arial" w:hAnsi="Arial"/>
          <w:b/>
          <w:sz w:val="22"/>
        </w:rPr>
        <w:lastRenderedPageBreak/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fldChar w:fldCharType="begin"/>
      </w:r>
      <w:r>
        <w:rPr>
          <w:rFonts w:ascii="CG Omega" w:hAnsi="CG Omega"/>
          <w:sz w:val="24"/>
        </w:rPr>
        <w:instrText xml:space="preserve"> COMMENTS  \* MERGEFORMAT </w:instrText>
      </w:r>
      <w:r>
        <w:rPr>
          <w:rFonts w:ascii="CG Omega" w:hAnsi="CG Omega"/>
          <w:sz w:val="24"/>
        </w:rPr>
        <w:fldChar w:fldCharType="separate"/>
      </w:r>
      <w:r w:rsidR="009723C3">
        <w:rPr>
          <w:rFonts w:ascii="CG Omega" w:hAnsi="CG Omega"/>
          <w:sz w:val="24"/>
        </w:rPr>
        <w:t>This service pack provides additional options when importing bank reconciliation details.</w:t>
      </w:r>
      <w:r>
        <w:rPr>
          <w:rFonts w:ascii="CG Omega" w:hAnsi="CG Omega"/>
          <w:sz w:val="24"/>
        </w:rPr>
        <w:fldChar w:fldCharType="end"/>
      </w:r>
    </w:p>
    <w:p w:rsidR="00E842B7" w:rsidRDefault="00E842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A976D9">
        <w:trPr>
          <w:trHeight w:val="240"/>
        </w:trPr>
        <w:tc>
          <w:tcPr>
            <w:tcW w:w="10173" w:type="dxa"/>
          </w:tcPr>
          <w:p w:rsidR="00A976D9" w:rsidRPr="00DE196C" w:rsidRDefault="00DE196C" w:rsidP="00DE196C">
            <w:pPr>
              <w:jc w:val="both"/>
              <w:rPr>
                <w:rFonts w:ascii="CG Omega" w:hAnsi="CG Omega"/>
                <w:sz w:val="24"/>
                <w:szCs w:val="24"/>
              </w:rPr>
            </w:pPr>
            <w:r w:rsidRPr="00DE196C">
              <w:rPr>
                <w:rFonts w:ascii="CG Omega" w:hAnsi="CG Omega"/>
                <w:sz w:val="24"/>
                <w:szCs w:val="24"/>
              </w:rPr>
              <w:t xml:space="preserve">When defining the structure of import files for Bank Reconciliation, </w:t>
            </w:r>
            <w:r>
              <w:rPr>
                <w:rFonts w:ascii="CG Omega" w:hAnsi="CG Omega"/>
                <w:sz w:val="24"/>
                <w:szCs w:val="24"/>
              </w:rPr>
              <w:t>t</w:t>
            </w:r>
            <w:r w:rsidRPr="00DE196C">
              <w:rPr>
                <w:rFonts w:ascii="CG Omega" w:hAnsi="CG Omega"/>
                <w:sz w:val="24"/>
                <w:szCs w:val="24"/>
              </w:rPr>
              <w:t xml:space="preserve">he “Payment Amount” and “Receipt Amount” columns currently define which column is </w:t>
            </w:r>
            <w:r>
              <w:rPr>
                <w:rFonts w:ascii="CG Omega" w:hAnsi="CG Omega"/>
                <w:sz w:val="24"/>
                <w:szCs w:val="24"/>
              </w:rPr>
              <w:t xml:space="preserve">used </w:t>
            </w:r>
            <w:r w:rsidRPr="00DE196C">
              <w:rPr>
                <w:rFonts w:ascii="CG Omega" w:hAnsi="CG Omega"/>
                <w:sz w:val="24"/>
                <w:szCs w:val="24"/>
              </w:rPr>
              <w:t>for each of these import values.  If the columns are different, the imported value, regardless of sign is treated as either a Payment or Receipt.  If the Payment and Receipt columns are the same, positive numbers are posted as Receipts and negative numbers as Payments.</w:t>
            </w:r>
            <w:r w:rsidR="00CF5A12">
              <w:rPr>
                <w:rFonts w:ascii="CG Omega" w:hAnsi="CG Omega"/>
                <w:sz w:val="24"/>
                <w:szCs w:val="24"/>
              </w:rPr>
              <w:t xml:space="preserve"> </w:t>
            </w:r>
          </w:p>
        </w:tc>
      </w:tr>
      <w:tr w:rsidR="00824797">
        <w:trPr>
          <w:trHeight w:val="240"/>
        </w:trPr>
        <w:tc>
          <w:tcPr>
            <w:tcW w:w="10173" w:type="dxa"/>
          </w:tcPr>
          <w:p w:rsidR="00164E91" w:rsidRPr="00F46690" w:rsidRDefault="00F46690" w:rsidP="00AD41EE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 w:rsidRPr="00F46690">
              <w:rPr>
                <w:rFonts w:ascii="CG Omega" w:hAnsi="CG Omega"/>
                <w:sz w:val="24"/>
                <w:szCs w:val="24"/>
              </w:rPr>
              <w:t>This service pack introduces the following new settings available when defining the structure of a Bank Reconciliation import file</w:t>
            </w:r>
            <w:r w:rsidR="00CF5A12">
              <w:rPr>
                <w:rFonts w:ascii="CG Omega" w:hAnsi="CG Omega"/>
                <w:sz w:val="24"/>
                <w:szCs w:val="24"/>
              </w:rPr>
              <w:t>. These allow a broader range of import files to be processed</w:t>
            </w:r>
            <w:r w:rsidRPr="00F46690">
              <w:rPr>
                <w:rFonts w:ascii="CG Omega" w:hAnsi="CG Omega"/>
                <w:sz w:val="24"/>
                <w:szCs w:val="24"/>
              </w:rPr>
              <w:t>:</w:t>
            </w:r>
          </w:p>
          <w:p w:rsidR="00586DC7" w:rsidRPr="00235AE3" w:rsidRDefault="00F46690" w:rsidP="00235AE3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CG Omega" w:hAnsi="CG Omega"/>
                <w:sz w:val="24"/>
                <w:szCs w:val="24"/>
              </w:rPr>
            </w:pPr>
            <w:r w:rsidRPr="00235AE3">
              <w:rPr>
                <w:rFonts w:ascii="CG Omega" w:hAnsi="CG Omega"/>
                <w:b/>
                <w:sz w:val="24"/>
                <w:szCs w:val="24"/>
              </w:rPr>
              <w:t>Payment/Receipt indicator.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 xml:space="preserve">This new setting can be used for </w:t>
            </w:r>
            <w:r w:rsidRPr="00235AE3">
              <w:rPr>
                <w:rFonts w:ascii="CG Omega" w:hAnsi="CG Omega"/>
                <w:sz w:val="24"/>
                <w:szCs w:val="24"/>
              </w:rPr>
              <w:t>import files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 xml:space="preserve"> where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</w:t>
            </w:r>
            <w:r w:rsidR="009F4D07">
              <w:rPr>
                <w:rFonts w:ascii="CG Omega" w:hAnsi="CG Omega"/>
                <w:sz w:val="24"/>
                <w:szCs w:val="24"/>
              </w:rPr>
              <w:t>the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payment and receipt values are in the same column and of the same sign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 xml:space="preserve">. It is used 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as the indicator for the payment or receipt.  </w:t>
            </w:r>
          </w:p>
          <w:p w:rsidR="00586DC7" w:rsidRDefault="00586DC7" w:rsidP="00F46690">
            <w:pPr>
              <w:jc w:val="both"/>
              <w:rPr>
                <w:rFonts w:ascii="CG Omega" w:hAnsi="CG Omega"/>
                <w:sz w:val="24"/>
                <w:szCs w:val="24"/>
              </w:rPr>
            </w:pPr>
          </w:p>
          <w:p w:rsidR="00586DC7" w:rsidRPr="00235AE3" w:rsidRDefault="00586DC7" w:rsidP="00235AE3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CG Omega" w:hAnsi="CG Omega"/>
                <w:sz w:val="24"/>
                <w:szCs w:val="24"/>
              </w:rPr>
            </w:pPr>
            <w:r w:rsidRPr="00235AE3">
              <w:rPr>
                <w:rFonts w:ascii="CG Omega" w:hAnsi="CG Omega"/>
                <w:b/>
                <w:sz w:val="24"/>
                <w:szCs w:val="24"/>
              </w:rPr>
              <w:t>Text to indicate receipt</w:t>
            </w:r>
            <w:r w:rsidRPr="00235AE3">
              <w:rPr>
                <w:rFonts w:ascii="CG Omega" w:hAnsi="CG Omega"/>
                <w:b/>
                <w:sz w:val="24"/>
                <w:szCs w:val="24"/>
              </w:rPr>
              <w:t>/</w:t>
            </w:r>
            <w:r w:rsidRPr="00235AE3">
              <w:rPr>
                <w:rFonts w:ascii="CG Omega" w:hAnsi="CG Omega"/>
                <w:b/>
                <w:sz w:val="24"/>
                <w:szCs w:val="24"/>
              </w:rPr>
              <w:t>Text to indicate payment</w:t>
            </w:r>
            <w:r w:rsidRPr="00235AE3">
              <w:rPr>
                <w:rFonts w:ascii="CG Omega" w:hAnsi="CG Omega"/>
                <w:b/>
                <w:sz w:val="24"/>
                <w:szCs w:val="24"/>
              </w:rPr>
              <w:t>.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 The contents of the payment/receipt indicator column are compared with these two new settings to determine whether the imported value is a payment or receipt.</w:t>
            </w:r>
          </w:p>
          <w:p w:rsidR="00586DC7" w:rsidRDefault="00586DC7" w:rsidP="00F46690">
            <w:pPr>
              <w:jc w:val="both"/>
              <w:rPr>
                <w:rFonts w:ascii="CG Omega" w:hAnsi="CG Omega"/>
                <w:sz w:val="24"/>
                <w:szCs w:val="24"/>
              </w:rPr>
            </w:pPr>
          </w:p>
          <w:p w:rsidR="00F46690" w:rsidRPr="00235AE3" w:rsidRDefault="00F46690" w:rsidP="00235AE3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CG Omega" w:hAnsi="CG Omega"/>
                <w:sz w:val="24"/>
                <w:szCs w:val="24"/>
              </w:rPr>
            </w:pPr>
            <w:r w:rsidRPr="00235AE3">
              <w:rPr>
                <w:rFonts w:ascii="CG Omega" w:hAnsi="CG Omega"/>
                <w:b/>
                <w:sz w:val="24"/>
                <w:szCs w:val="24"/>
              </w:rPr>
              <w:t>Reverse sign on import.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By default the import 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>treats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positive numbers as receipts and negative numbers as payments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>, this option (when selected)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</w:t>
            </w:r>
            <w:r w:rsidR="00586DC7" w:rsidRPr="00235AE3">
              <w:rPr>
                <w:rFonts w:ascii="CG Omega" w:hAnsi="CG Omega"/>
                <w:sz w:val="24"/>
                <w:szCs w:val="24"/>
              </w:rPr>
              <w:t xml:space="preserve">causes the import to treat </w:t>
            </w:r>
            <w:r w:rsidRPr="00235AE3">
              <w:rPr>
                <w:rFonts w:ascii="CG Omega" w:hAnsi="CG Omega"/>
                <w:sz w:val="24"/>
                <w:szCs w:val="24"/>
              </w:rPr>
              <w:t>negative numbers as receipts and positive numbers as payments.</w:t>
            </w:r>
          </w:p>
        </w:tc>
      </w:tr>
      <w:tr w:rsidR="00586DC7">
        <w:trPr>
          <w:trHeight w:val="240"/>
        </w:trPr>
        <w:tc>
          <w:tcPr>
            <w:tcW w:w="10173" w:type="dxa"/>
          </w:tcPr>
          <w:p w:rsidR="00586DC7" w:rsidRPr="00235AE3" w:rsidRDefault="00235AE3" w:rsidP="007621D4">
            <w:pPr>
              <w:jc w:val="both"/>
              <w:rPr>
                <w:rFonts w:ascii="CG Omega" w:hAnsi="CG Omega"/>
                <w:sz w:val="24"/>
                <w:szCs w:val="24"/>
              </w:rPr>
            </w:pPr>
            <w:r w:rsidRPr="00235AE3">
              <w:rPr>
                <w:rFonts w:ascii="CG Omega" w:hAnsi="CG Omega"/>
                <w:sz w:val="24"/>
                <w:szCs w:val="24"/>
              </w:rPr>
              <w:t xml:space="preserve">In addition the import process has been updated to ignore trailing text when importing payment/receipt values. For </w:t>
            </w:r>
            <w:r w:rsidRPr="00235AE3">
              <w:rPr>
                <w:rFonts w:ascii="CG Omega" w:hAnsi="CG Omega"/>
                <w:sz w:val="24"/>
                <w:szCs w:val="24"/>
              </w:rPr>
              <w:t>example where a curr</w:t>
            </w:r>
            <w:r>
              <w:rPr>
                <w:rFonts w:ascii="CG Omega" w:hAnsi="CG Omega"/>
                <w:sz w:val="24"/>
                <w:szCs w:val="24"/>
              </w:rPr>
              <w:t>ency is specified “1234.56 GBP”,</w:t>
            </w:r>
            <w:r w:rsidRPr="00235AE3">
              <w:rPr>
                <w:rFonts w:ascii="CG Omega" w:hAnsi="CG Omega"/>
                <w:sz w:val="24"/>
                <w:szCs w:val="24"/>
              </w:rPr>
              <w:t xml:space="preserve"> </w:t>
            </w:r>
            <w:r>
              <w:rPr>
                <w:rFonts w:ascii="CG Omega" w:hAnsi="CG Omega"/>
                <w:sz w:val="24"/>
                <w:szCs w:val="24"/>
              </w:rPr>
              <w:t>t</w:t>
            </w:r>
            <w:r w:rsidRPr="00235AE3">
              <w:rPr>
                <w:rFonts w:ascii="CG Omega" w:hAnsi="CG Omega"/>
                <w:sz w:val="24"/>
                <w:szCs w:val="24"/>
              </w:rPr>
              <w:t>he trailing text is ignored by the import and only the numeric values are processed.</w:t>
            </w:r>
          </w:p>
        </w:tc>
      </w:tr>
    </w:tbl>
    <w:p w:rsidR="00E842B7" w:rsidRDefault="00E842B7"/>
    <w:p w:rsidR="009526D8" w:rsidRDefault="009526D8"/>
    <w:p w:rsidR="009526D8" w:rsidRDefault="009526D8"/>
    <w:p w:rsidR="009526D8" w:rsidRDefault="009526D8"/>
    <w:p w:rsidR="009526D8" w:rsidRDefault="00985861">
      <w:r>
        <w:br w:type="page"/>
      </w:r>
    </w:p>
    <w:p w:rsidR="00E842B7" w:rsidRDefault="00E842B7" w:rsidP="008D7B1F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DOCUMENTATION CHANGES</w:t>
      </w:r>
    </w:p>
    <w:p w:rsidR="001474FF" w:rsidRDefault="001474FF" w:rsidP="005E5511">
      <w:pPr>
        <w:rPr>
          <w:i/>
        </w:rPr>
      </w:pPr>
    </w:p>
    <w:p w:rsidR="00A60628" w:rsidRDefault="00E04E7C" w:rsidP="00A60628">
      <w:pPr>
        <w:pStyle w:val="Heading3"/>
        <w:ind w:left="0"/>
      </w:pPr>
      <w:r>
        <w:t>CM</w:t>
      </w:r>
      <w:r w:rsidR="00A60628">
        <w:t xml:space="preserve"> </w:t>
      </w:r>
      <w:r w:rsidR="009F4D07">
        <w:t xml:space="preserve">Bank Reconciliation </w:t>
      </w:r>
      <w:r w:rsidR="00A60628">
        <w:t xml:space="preserve">– </w:t>
      </w:r>
      <w:r w:rsidR="009F4D07">
        <w:t>Import File Structure</w:t>
      </w:r>
    </w:p>
    <w:p w:rsidR="009F4D07" w:rsidRPr="009F4D07" w:rsidRDefault="009F4D07" w:rsidP="009F4D07">
      <w:pPr>
        <w:pStyle w:val="BodyText"/>
      </w:pPr>
    </w:p>
    <w:p w:rsidR="00BB36A4" w:rsidRDefault="00D06643" w:rsidP="00BB36A4">
      <w:pPr>
        <w:rPr>
          <w:i/>
          <w:iCs/>
        </w:rPr>
      </w:pPr>
      <w:r>
        <w:rPr>
          <w:i/>
          <w:iCs/>
        </w:rPr>
        <w:t xml:space="preserve"> </w:t>
      </w:r>
      <w:r w:rsidR="009F4D07">
        <w:rPr>
          <w:noProof/>
        </w:rPr>
        <w:drawing>
          <wp:inline distT="0" distB="0" distL="0" distR="0" wp14:anchorId="3471A9C0" wp14:editId="4F693641">
            <wp:extent cx="5943600" cy="60864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643" w:rsidRDefault="00D06643" w:rsidP="00BB36A4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BB36A4" w:rsidRPr="007E7A37" w:rsidTr="00163BB5">
        <w:trPr>
          <w:cantSplit/>
        </w:trPr>
        <w:tc>
          <w:tcPr>
            <w:tcW w:w="2410" w:type="dxa"/>
          </w:tcPr>
          <w:p w:rsidR="00BB36A4" w:rsidRDefault="00317E0E" w:rsidP="00317E0E">
            <w:pPr>
              <w:pStyle w:val="Subheading"/>
            </w:pPr>
            <w:r>
              <w:t>Field position/column number for the p</w:t>
            </w:r>
            <w:r w:rsidR="009F4D07">
              <w:t>ayment/receipt indicator</w:t>
            </w:r>
          </w:p>
        </w:tc>
        <w:tc>
          <w:tcPr>
            <w:tcW w:w="7088" w:type="dxa"/>
          </w:tcPr>
          <w:p w:rsidR="00BB36A4" w:rsidRPr="007E7A37" w:rsidRDefault="009F4D07" w:rsidP="00317E0E">
            <w:pPr>
              <w:pStyle w:val="BodyText"/>
            </w:pPr>
            <w:r w:rsidRPr="00374B19">
              <w:rPr>
                <w:i/>
              </w:rPr>
              <w:t>(Only available if the payment and receipt amounts are located in the same column).</w:t>
            </w:r>
            <w:r>
              <w:t xml:space="preserve"> </w:t>
            </w:r>
            <w:r w:rsidR="00317E0E" w:rsidRPr="00FA4146">
              <w:t xml:space="preserve">Set this to the numerical field position (within a line) or column number (if importing from a spreadsheet) in which the </w:t>
            </w:r>
            <w:r w:rsidR="00317E0E">
              <w:t>payment/receipt indicator is located. The payment/receipt indicator is used to determine whether the value is a payment or receipt in files where the payment and receipt amounts are located in the same column and have the same sign.</w:t>
            </w:r>
          </w:p>
        </w:tc>
      </w:tr>
      <w:tr w:rsidR="00BB36A4" w:rsidTr="00163BB5">
        <w:trPr>
          <w:cantSplit/>
        </w:trPr>
        <w:tc>
          <w:tcPr>
            <w:tcW w:w="2410" w:type="dxa"/>
          </w:tcPr>
          <w:p w:rsidR="00BB36A4" w:rsidRDefault="00317E0E" w:rsidP="00163BB5">
            <w:pPr>
              <w:pStyle w:val="Subheading"/>
            </w:pPr>
            <w:r>
              <w:t>Text to indicate payment</w:t>
            </w:r>
          </w:p>
        </w:tc>
        <w:tc>
          <w:tcPr>
            <w:tcW w:w="7088" w:type="dxa"/>
          </w:tcPr>
          <w:p w:rsidR="00BB36A4" w:rsidRDefault="00317E0E" w:rsidP="00F41A63">
            <w:pPr>
              <w:pStyle w:val="BodyText"/>
            </w:pPr>
            <w:r w:rsidRPr="00374B19">
              <w:rPr>
                <w:i/>
              </w:rPr>
              <w:t>(Only available if the payment and receipt amounts are located in the same column</w:t>
            </w:r>
            <w:r w:rsidRPr="00374B19">
              <w:rPr>
                <w:i/>
              </w:rPr>
              <w:t xml:space="preserve"> and a payment/receipt indicator is in use</w:t>
            </w:r>
            <w:r w:rsidRPr="00374B19">
              <w:rPr>
                <w:i/>
              </w:rPr>
              <w:t>).</w:t>
            </w:r>
            <w:r>
              <w:t xml:space="preserve">  Set this to the text that will appear in the payment/receipt indicator column if </w:t>
            </w:r>
            <w:r w:rsidR="00610985">
              <w:t xml:space="preserve">the incoming value is a payment. </w:t>
            </w:r>
          </w:p>
        </w:tc>
      </w:tr>
      <w:tr w:rsidR="00610985" w:rsidTr="00163BB5">
        <w:trPr>
          <w:cantSplit/>
        </w:trPr>
        <w:tc>
          <w:tcPr>
            <w:tcW w:w="2410" w:type="dxa"/>
          </w:tcPr>
          <w:p w:rsidR="00610985" w:rsidRDefault="00610985" w:rsidP="00610985">
            <w:pPr>
              <w:pStyle w:val="Subheading"/>
            </w:pPr>
            <w:r>
              <w:lastRenderedPageBreak/>
              <w:t>Text to indicate receipt</w:t>
            </w:r>
          </w:p>
        </w:tc>
        <w:tc>
          <w:tcPr>
            <w:tcW w:w="7088" w:type="dxa"/>
          </w:tcPr>
          <w:p w:rsidR="00610985" w:rsidRDefault="00610985" w:rsidP="00610985">
            <w:pPr>
              <w:pStyle w:val="BodyText"/>
            </w:pPr>
            <w:r w:rsidRPr="00374B19">
              <w:rPr>
                <w:i/>
              </w:rPr>
              <w:t>(Only available if the payment and receipt amounts are located in the same column</w:t>
            </w:r>
            <w:r w:rsidRPr="00374B19">
              <w:rPr>
                <w:i/>
              </w:rPr>
              <w:t xml:space="preserve"> and a payment/receipt indicator is in use</w:t>
            </w:r>
            <w:r w:rsidRPr="00374B19">
              <w:rPr>
                <w:i/>
              </w:rPr>
              <w:t>).</w:t>
            </w:r>
            <w:r>
              <w:t xml:space="preserve">  Set this to the text that will appear in the payment/receipt indicator column if the incoming value is a receipt. </w:t>
            </w:r>
          </w:p>
        </w:tc>
      </w:tr>
      <w:tr w:rsidR="00374B19" w:rsidTr="00163BB5">
        <w:trPr>
          <w:cantSplit/>
        </w:trPr>
        <w:tc>
          <w:tcPr>
            <w:tcW w:w="2410" w:type="dxa"/>
          </w:tcPr>
          <w:p w:rsidR="00374B19" w:rsidRDefault="00374B19" w:rsidP="00610985">
            <w:pPr>
              <w:pStyle w:val="Subheading"/>
            </w:pPr>
            <w:r>
              <w:t>Reverse sign on import</w:t>
            </w:r>
          </w:p>
        </w:tc>
        <w:tc>
          <w:tcPr>
            <w:tcW w:w="7088" w:type="dxa"/>
          </w:tcPr>
          <w:p w:rsidR="00374B19" w:rsidRPr="00374B19" w:rsidRDefault="00374B19" w:rsidP="008C0C39">
            <w:pPr>
              <w:pStyle w:val="BodyText"/>
            </w:pPr>
            <w:r w:rsidRPr="00374B19">
              <w:rPr>
                <w:i/>
              </w:rPr>
              <w:t>(Only available if the payment and receipt amounts are located in the same column</w:t>
            </w:r>
            <w:r w:rsidR="008C0C39">
              <w:rPr>
                <w:i/>
              </w:rPr>
              <w:t xml:space="preserve"> and a payment/receipt indicator is NOT in use</w:t>
            </w:r>
            <w:r w:rsidRPr="00374B19">
              <w:rPr>
                <w:i/>
              </w:rPr>
              <w:t>).</w:t>
            </w:r>
            <w:r>
              <w:t xml:space="preserve"> </w:t>
            </w:r>
            <w:r w:rsidRPr="00374B19">
              <w:t xml:space="preserve">By default the import treats positive numbers as receipts and negative numbers as payments, </w:t>
            </w:r>
            <w:r w:rsidR="008C0C39">
              <w:t>when this option is set it</w:t>
            </w:r>
            <w:r w:rsidRPr="00374B19">
              <w:t xml:space="preserve"> causes the import to treat negative numbers as receipts and positive numbers as payments.</w:t>
            </w:r>
          </w:p>
        </w:tc>
      </w:tr>
    </w:tbl>
    <w:p w:rsidR="006D282E" w:rsidRDefault="006D282E" w:rsidP="008C0C39">
      <w:pPr>
        <w:pStyle w:val="Subheading3"/>
        <w:rPr>
          <w:b/>
          <w:bCs/>
          <w:sz w:val="22"/>
        </w:rPr>
      </w:pPr>
    </w:p>
    <w:sectPr w:rsidR="006D28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687" w:rsidRDefault="004F5687">
      <w:r>
        <w:separator/>
      </w:r>
    </w:p>
  </w:endnote>
  <w:endnote w:type="continuationSeparator" w:id="0">
    <w:p w:rsidR="004F5687" w:rsidRDefault="004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C39" w:rsidRDefault="008C0C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3F1075">
      <w:tc>
        <w:tcPr>
          <w:tcW w:w="2178" w:type="dxa"/>
        </w:tcPr>
        <w:p w:rsidR="003F1075" w:rsidRDefault="003F107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3F1075" w:rsidRDefault="003F107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C0C39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3F1075">
      <w:tc>
        <w:tcPr>
          <w:tcW w:w="2178" w:type="dxa"/>
        </w:tcPr>
        <w:p w:rsidR="003F1075" w:rsidRDefault="003F107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3F1075" w:rsidRDefault="003F107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C0C39">
            <w:rPr>
              <w:rFonts w:ascii="Arial" w:hAnsi="Arial"/>
              <w:noProof/>
              <w:sz w:val="18"/>
            </w:rPr>
            <w:t>ZC60_000174.docx</w:t>
          </w:r>
          <w:r>
            <w:rPr>
              <w:rFonts w:ascii="Arial" w:hAnsi="Arial"/>
              <w:sz w:val="18"/>
            </w:rPr>
            <w:fldChar w:fldCharType="end"/>
          </w:r>
          <w:bookmarkStart w:id="0" w:name="_GoBack"/>
          <w:bookmarkEnd w:id="0"/>
        </w:p>
      </w:tc>
    </w:tr>
    <w:tr w:rsidR="003F1075">
      <w:trPr>
        <w:cantSplit/>
      </w:trPr>
      <w:tc>
        <w:tcPr>
          <w:tcW w:w="2178" w:type="dxa"/>
        </w:tcPr>
        <w:p w:rsidR="003F1075" w:rsidRDefault="003F107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3F1075" w:rsidRDefault="003F107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C0C39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3F1075" w:rsidRDefault="003F1075" w:rsidP="00D06643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8C0C39">
            <w:rPr>
              <w:noProof/>
            </w:rPr>
            <w:t>4</w:t>
          </w:r>
          <w:r>
            <w:fldChar w:fldCharType="end"/>
          </w:r>
          <w:r>
            <w:t xml:space="preserve"> of </w:t>
          </w:r>
          <w:r w:rsidR="00D06643">
            <w:t>4</w:t>
          </w:r>
        </w:p>
      </w:tc>
    </w:tr>
  </w:tbl>
  <w:p w:rsidR="003F1075" w:rsidRDefault="003F10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C39" w:rsidRDefault="008C0C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687" w:rsidRDefault="004F5687">
      <w:r>
        <w:separator/>
      </w:r>
    </w:p>
  </w:footnote>
  <w:footnote w:type="continuationSeparator" w:id="0">
    <w:p w:rsidR="004F5687" w:rsidRDefault="004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C39" w:rsidRDefault="008C0C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C39" w:rsidRDefault="008C0C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C39" w:rsidRDefault="008C0C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482DB1"/>
    <w:multiLevelType w:val="hybridMultilevel"/>
    <w:tmpl w:val="558AF9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A4436D"/>
    <w:multiLevelType w:val="hybridMultilevel"/>
    <w:tmpl w:val="E026B1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599208A"/>
    <w:multiLevelType w:val="hybridMultilevel"/>
    <w:tmpl w:val="2C10AF70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12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475E9F"/>
    <w:multiLevelType w:val="hybridMultilevel"/>
    <w:tmpl w:val="6AEEB0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352C2A08"/>
    <w:multiLevelType w:val="hybridMultilevel"/>
    <w:tmpl w:val="4EDE0A28"/>
    <w:lvl w:ilvl="0" w:tplc="EC4A7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3A33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604A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F4C3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4662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C0CD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221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A67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B2BE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430CBB"/>
    <w:multiLevelType w:val="hybridMultilevel"/>
    <w:tmpl w:val="08D40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8B1A83"/>
    <w:multiLevelType w:val="hybridMultilevel"/>
    <w:tmpl w:val="A9105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474974"/>
    <w:multiLevelType w:val="hybridMultilevel"/>
    <w:tmpl w:val="72C22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DD7E38"/>
    <w:multiLevelType w:val="hybridMultilevel"/>
    <w:tmpl w:val="FE0EE32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3D351A9"/>
    <w:multiLevelType w:val="hybridMultilevel"/>
    <w:tmpl w:val="2632A9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304CAA"/>
    <w:multiLevelType w:val="hybridMultilevel"/>
    <w:tmpl w:val="22687C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86F92"/>
    <w:multiLevelType w:val="hybridMultilevel"/>
    <w:tmpl w:val="1696F18E"/>
    <w:lvl w:ilvl="0" w:tplc="31EC7B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68D3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D8BB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D09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860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C678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361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242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50FC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2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D53E22"/>
    <w:multiLevelType w:val="hybridMultilevel"/>
    <w:tmpl w:val="CEB80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8F6568A"/>
    <w:multiLevelType w:val="hybridMultilevel"/>
    <w:tmpl w:val="7B68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1115BB"/>
    <w:multiLevelType w:val="hybridMultilevel"/>
    <w:tmpl w:val="C930BF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5"/>
  </w:num>
  <w:num w:numId="3">
    <w:abstractNumId w:val="5"/>
  </w:num>
  <w:num w:numId="4">
    <w:abstractNumId w:val="10"/>
  </w:num>
  <w:num w:numId="5">
    <w:abstractNumId w:val="22"/>
  </w:num>
  <w:num w:numId="6">
    <w:abstractNumId w:val="0"/>
  </w:num>
  <w:num w:numId="7">
    <w:abstractNumId w:val="8"/>
  </w:num>
  <w:num w:numId="8">
    <w:abstractNumId w:val="39"/>
  </w:num>
  <w:num w:numId="9">
    <w:abstractNumId w:val="12"/>
  </w:num>
  <w:num w:numId="10">
    <w:abstractNumId w:val="18"/>
  </w:num>
  <w:num w:numId="11">
    <w:abstractNumId w:val="46"/>
  </w:num>
  <w:num w:numId="12">
    <w:abstractNumId w:val="23"/>
  </w:num>
  <w:num w:numId="13">
    <w:abstractNumId w:val="44"/>
  </w:num>
  <w:num w:numId="14">
    <w:abstractNumId w:val="41"/>
  </w:num>
  <w:num w:numId="15">
    <w:abstractNumId w:val="2"/>
  </w:num>
  <w:num w:numId="16">
    <w:abstractNumId w:val="15"/>
  </w:num>
  <w:num w:numId="17">
    <w:abstractNumId w:val="19"/>
  </w:num>
  <w:num w:numId="18">
    <w:abstractNumId w:val="29"/>
  </w:num>
  <w:num w:numId="19">
    <w:abstractNumId w:val="27"/>
  </w:num>
  <w:num w:numId="20">
    <w:abstractNumId w:val="16"/>
  </w:num>
  <w:num w:numId="21">
    <w:abstractNumId w:val="13"/>
  </w:num>
  <w:num w:numId="22">
    <w:abstractNumId w:val="32"/>
  </w:num>
  <w:num w:numId="23">
    <w:abstractNumId w:val="33"/>
  </w:num>
  <w:num w:numId="24">
    <w:abstractNumId w:val="37"/>
  </w:num>
  <w:num w:numId="25">
    <w:abstractNumId w:val="9"/>
  </w:num>
  <w:num w:numId="26">
    <w:abstractNumId w:val="20"/>
  </w:num>
  <w:num w:numId="27">
    <w:abstractNumId w:val="6"/>
  </w:num>
  <w:num w:numId="28">
    <w:abstractNumId w:val="25"/>
  </w:num>
  <w:num w:numId="29">
    <w:abstractNumId w:val="42"/>
  </w:num>
  <w:num w:numId="30">
    <w:abstractNumId w:val="40"/>
  </w:num>
  <w:num w:numId="31">
    <w:abstractNumId w:val="17"/>
  </w:num>
  <w:num w:numId="32">
    <w:abstractNumId w:val="4"/>
  </w:num>
  <w:num w:numId="33">
    <w:abstractNumId w:val="31"/>
  </w:num>
  <w:num w:numId="34">
    <w:abstractNumId w:val="24"/>
  </w:num>
  <w:num w:numId="35">
    <w:abstractNumId w:val="30"/>
  </w:num>
  <w:num w:numId="36">
    <w:abstractNumId w:val="3"/>
  </w:num>
  <w:num w:numId="37">
    <w:abstractNumId w:val="7"/>
  </w:num>
  <w:num w:numId="38">
    <w:abstractNumId w:val="34"/>
  </w:num>
  <w:num w:numId="39">
    <w:abstractNumId w:val="11"/>
  </w:num>
  <w:num w:numId="40">
    <w:abstractNumId w:val="36"/>
  </w:num>
  <w:num w:numId="41">
    <w:abstractNumId w:val="47"/>
  </w:num>
  <w:num w:numId="42">
    <w:abstractNumId w:val="1"/>
  </w:num>
  <w:num w:numId="43">
    <w:abstractNumId w:val="48"/>
  </w:num>
  <w:num w:numId="44">
    <w:abstractNumId w:val="14"/>
  </w:num>
  <w:num w:numId="45">
    <w:abstractNumId w:val="26"/>
  </w:num>
  <w:num w:numId="46">
    <w:abstractNumId w:val="21"/>
  </w:num>
  <w:num w:numId="47">
    <w:abstractNumId w:val="38"/>
  </w:num>
  <w:num w:numId="48">
    <w:abstractNumId w:val="2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05DD"/>
    <w:rsid w:val="000068B9"/>
    <w:rsid w:val="00006EF2"/>
    <w:rsid w:val="000109A8"/>
    <w:rsid w:val="0001377E"/>
    <w:rsid w:val="000231C8"/>
    <w:rsid w:val="00023FC7"/>
    <w:rsid w:val="000330B0"/>
    <w:rsid w:val="0003379F"/>
    <w:rsid w:val="000340BF"/>
    <w:rsid w:val="00034A25"/>
    <w:rsid w:val="00036C80"/>
    <w:rsid w:val="0003704C"/>
    <w:rsid w:val="00044EB7"/>
    <w:rsid w:val="000453DD"/>
    <w:rsid w:val="00060A16"/>
    <w:rsid w:val="00062406"/>
    <w:rsid w:val="000627C8"/>
    <w:rsid w:val="000654C0"/>
    <w:rsid w:val="00065DBE"/>
    <w:rsid w:val="00067B8E"/>
    <w:rsid w:val="00067B94"/>
    <w:rsid w:val="00071067"/>
    <w:rsid w:val="00071AEF"/>
    <w:rsid w:val="00071BC1"/>
    <w:rsid w:val="00071F00"/>
    <w:rsid w:val="000754B8"/>
    <w:rsid w:val="00081B90"/>
    <w:rsid w:val="000858D1"/>
    <w:rsid w:val="000901C3"/>
    <w:rsid w:val="00096190"/>
    <w:rsid w:val="000975F8"/>
    <w:rsid w:val="000A376E"/>
    <w:rsid w:val="000A50BC"/>
    <w:rsid w:val="000A636F"/>
    <w:rsid w:val="000B1574"/>
    <w:rsid w:val="000B23A2"/>
    <w:rsid w:val="000B285E"/>
    <w:rsid w:val="000B3A81"/>
    <w:rsid w:val="000B69BC"/>
    <w:rsid w:val="000C07A7"/>
    <w:rsid w:val="000D1EF0"/>
    <w:rsid w:val="000D5CC3"/>
    <w:rsid w:val="000D5D5F"/>
    <w:rsid w:val="000D6080"/>
    <w:rsid w:val="000D60FA"/>
    <w:rsid w:val="000D668B"/>
    <w:rsid w:val="000D7CAD"/>
    <w:rsid w:val="000E175D"/>
    <w:rsid w:val="000F08A3"/>
    <w:rsid w:val="000F1DA2"/>
    <w:rsid w:val="000F73B3"/>
    <w:rsid w:val="0010221A"/>
    <w:rsid w:val="00102E4F"/>
    <w:rsid w:val="001034DA"/>
    <w:rsid w:val="001036DA"/>
    <w:rsid w:val="00104622"/>
    <w:rsid w:val="0010545F"/>
    <w:rsid w:val="001055EC"/>
    <w:rsid w:val="001068B5"/>
    <w:rsid w:val="00110645"/>
    <w:rsid w:val="001124B2"/>
    <w:rsid w:val="00117741"/>
    <w:rsid w:val="00123C3B"/>
    <w:rsid w:val="001249EC"/>
    <w:rsid w:val="00125187"/>
    <w:rsid w:val="00130380"/>
    <w:rsid w:val="0013117E"/>
    <w:rsid w:val="00135D27"/>
    <w:rsid w:val="001364DC"/>
    <w:rsid w:val="0013678D"/>
    <w:rsid w:val="00144815"/>
    <w:rsid w:val="00146965"/>
    <w:rsid w:val="001474FF"/>
    <w:rsid w:val="0014789A"/>
    <w:rsid w:val="0015025F"/>
    <w:rsid w:val="00150861"/>
    <w:rsid w:val="00155E7A"/>
    <w:rsid w:val="00157DF2"/>
    <w:rsid w:val="001637D5"/>
    <w:rsid w:val="00163BB5"/>
    <w:rsid w:val="00164E91"/>
    <w:rsid w:val="00165525"/>
    <w:rsid w:val="001660DC"/>
    <w:rsid w:val="001700BC"/>
    <w:rsid w:val="001848C5"/>
    <w:rsid w:val="00184A0B"/>
    <w:rsid w:val="001859C5"/>
    <w:rsid w:val="0018610E"/>
    <w:rsid w:val="00186445"/>
    <w:rsid w:val="001864EE"/>
    <w:rsid w:val="00186507"/>
    <w:rsid w:val="00190C77"/>
    <w:rsid w:val="00191203"/>
    <w:rsid w:val="00193FBD"/>
    <w:rsid w:val="001A080A"/>
    <w:rsid w:val="001A27C0"/>
    <w:rsid w:val="001A2BD7"/>
    <w:rsid w:val="001B2366"/>
    <w:rsid w:val="001B26F5"/>
    <w:rsid w:val="001B49BE"/>
    <w:rsid w:val="001B5BA7"/>
    <w:rsid w:val="001B6AAC"/>
    <w:rsid w:val="001C18EC"/>
    <w:rsid w:val="001C73CC"/>
    <w:rsid w:val="001D32E5"/>
    <w:rsid w:val="001D3F3A"/>
    <w:rsid w:val="001E107E"/>
    <w:rsid w:val="001E3747"/>
    <w:rsid w:val="001F0B1A"/>
    <w:rsid w:val="001F0B5A"/>
    <w:rsid w:val="001F55CF"/>
    <w:rsid w:val="002001EA"/>
    <w:rsid w:val="002029D9"/>
    <w:rsid w:val="00203F09"/>
    <w:rsid w:val="00204467"/>
    <w:rsid w:val="0020695E"/>
    <w:rsid w:val="00207BF8"/>
    <w:rsid w:val="0021010F"/>
    <w:rsid w:val="00210410"/>
    <w:rsid w:val="002138D9"/>
    <w:rsid w:val="0021454B"/>
    <w:rsid w:val="00215023"/>
    <w:rsid w:val="00220E25"/>
    <w:rsid w:val="00221E5A"/>
    <w:rsid w:val="002316D7"/>
    <w:rsid w:val="00231D5D"/>
    <w:rsid w:val="00234742"/>
    <w:rsid w:val="00234832"/>
    <w:rsid w:val="00234B00"/>
    <w:rsid w:val="00235AE3"/>
    <w:rsid w:val="00245859"/>
    <w:rsid w:val="00247BED"/>
    <w:rsid w:val="002540BB"/>
    <w:rsid w:val="00257B77"/>
    <w:rsid w:val="00257FE7"/>
    <w:rsid w:val="00260E3E"/>
    <w:rsid w:val="0026512E"/>
    <w:rsid w:val="00266659"/>
    <w:rsid w:val="00270E3C"/>
    <w:rsid w:val="00271C85"/>
    <w:rsid w:val="002768D0"/>
    <w:rsid w:val="00281340"/>
    <w:rsid w:val="0028193E"/>
    <w:rsid w:val="0028566F"/>
    <w:rsid w:val="00286F3E"/>
    <w:rsid w:val="00287665"/>
    <w:rsid w:val="00292973"/>
    <w:rsid w:val="00292BAD"/>
    <w:rsid w:val="00293163"/>
    <w:rsid w:val="00297982"/>
    <w:rsid w:val="002A5996"/>
    <w:rsid w:val="002B547C"/>
    <w:rsid w:val="002B5C9F"/>
    <w:rsid w:val="002B77AA"/>
    <w:rsid w:val="002B7B7A"/>
    <w:rsid w:val="002C11B8"/>
    <w:rsid w:val="002C32A7"/>
    <w:rsid w:val="002C4368"/>
    <w:rsid w:val="002C5688"/>
    <w:rsid w:val="002C6FD6"/>
    <w:rsid w:val="002C7DA9"/>
    <w:rsid w:val="002D6EC3"/>
    <w:rsid w:val="002E16A3"/>
    <w:rsid w:val="002E4C47"/>
    <w:rsid w:val="002E4E3C"/>
    <w:rsid w:val="002F1DAF"/>
    <w:rsid w:val="002F3973"/>
    <w:rsid w:val="002F448F"/>
    <w:rsid w:val="002F7431"/>
    <w:rsid w:val="002F7E04"/>
    <w:rsid w:val="0030154E"/>
    <w:rsid w:val="003020DE"/>
    <w:rsid w:val="00302DC2"/>
    <w:rsid w:val="00304B22"/>
    <w:rsid w:val="0031343C"/>
    <w:rsid w:val="00317E0E"/>
    <w:rsid w:val="00322FF9"/>
    <w:rsid w:val="0032528B"/>
    <w:rsid w:val="0033019E"/>
    <w:rsid w:val="003324E8"/>
    <w:rsid w:val="00332D5F"/>
    <w:rsid w:val="00332DC5"/>
    <w:rsid w:val="003334A5"/>
    <w:rsid w:val="0034027B"/>
    <w:rsid w:val="00344EE8"/>
    <w:rsid w:val="003511C0"/>
    <w:rsid w:val="003526BB"/>
    <w:rsid w:val="0035467B"/>
    <w:rsid w:val="003601F8"/>
    <w:rsid w:val="00362FD2"/>
    <w:rsid w:val="00363530"/>
    <w:rsid w:val="00366787"/>
    <w:rsid w:val="00366E0E"/>
    <w:rsid w:val="00370D95"/>
    <w:rsid w:val="00371E83"/>
    <w:rsid w:val="00373564"/>
    <w:rsid w:val="00374B19"/>
    <w:rsid w:val="00376DFA"/>
    <w:rsid w:val="0038097B"/>
    <w:rsid w:val="00381652"/>
    <w:rsid w:val="003839A6"/>
    <w:rsid w:val="003858BE"/>
    <w:rsid w:val="00387961"/>
    <w:rsid w:val="0039112D"/>
    <w:rsid w:val="0039291E"/>
    <w:rsid w:val="00393F49"/>
    <w:rsid w:val="00395268"/>
    <w:rsid w:val="00396E00"/>
    <w:rsid w:val="003A1D91"/>
    <w:rsid w:val="003A2975"/>
    <w:rsid w:val="003A43FB"/>
    <w:rsid w:val="003A5D64"/>
    <w:rsid w:val="003C2FFB"/>
    <w:rsid w:val="003C35AD"/>
    <w:rsid w:val="003C4B41"/>
    <w:rsid w:val="003C4B9A"/>
    <w:rsid w:val="003C6805"/>
    <w:rsid w:val="003C6FAE"/>
    <w:rsid w:val="003C76CB"/>
    <w:rsid w:val="003D2EA5"/>
    <w:rsid w:val="003D3DE5"/>
    <w:rsid w:val="003D45BD"/>
    <w:rsid w:val="003D7EBA"/>
    <w:rsid w:val="003E1906"/>
    <w:rsid w:val="003E3962"/>
    <w:rsid w:val="003E42A1"/>
    <w:rsid w:val="003F03E0"/>
    <w:rsid w:val="003F1075"/>
    <w:rsid w:val="003F2B87"/>
    <w:rsid w:val="003F31C7"/>
    <w:rsid w:val="003F559A"/>
    <w:rsid w:val="003F63BD"/>
    <w:rsid w:val="003F6A0F"/>
    <w:rsid w:val="0040285F"/>
    <w:rsid w:val="00404AB1"/>
    <w:rsid w:val="004052F8"/>
    <w:rsid w:val="00406B44"/>
    <w:rsid w:val="00406DAD"/>
    <w:rsid w:val="004134AD"/>
    <w:rsid w:val="00421F15"/>
    <w:rsid w:val="00423176"/>
    <w:rsid w:val="0043088F"/>
    <w:rsid w:val="0043273F"/>
    <w:rsid w:val="004335C2"/>
    <w:rsid w:val="00435BD9"/>
    <w:rsid w:val="004420D7"/>
    <w:rsid w:val="00446FBF"/>
    <w:rsid w:val="004550DF"/>
    <w:rsid w:val="0046280F"/>
    <w:rsid w:val="00463F36"/>
    <w:rsid w:val="0046659B"/>
    <w:rsid w:val="00470B5F"/>
    <w:rsid w:val="004725CA"/>
    <w:rsid w:val="00484536"/>
    <w:rsid w:val="00485389"/>
    <w:rsid w:val="00491CE4"/>
    <w:rsid w:val="004978F6"/>
    <w:rsid w:val="004A1B0D"/>
    <w:rsid w:val="004A2204"/>
    <w:rsid w:val="004A2BAE"/>
    <w:rsid w:val="004A2EAC"/>
    <w:rsid w:val="004A4B97"/>
    <w:rsid w:val="004A503A"/>
    <w:rsid w:val="004A5A39"/>
    <w:rsid w:val="004B3745"/>
    <w:rsid w:val="004B4A42"/>
    <w:rsid w:val="004B7DF7"/>
    <w:rsid w:val="004C1479"/>
    <w:rsid w:val="004C1740"/>
    <w:rsid w:val="004C2083"/>
    <w:rsid w:val="004C3624"/>
    <w:rsid w:val="004C508E"/>
    <w:rsid w:val="004C5C81"/>
    <w:rsid w:val="004E45F9"/>
    <w:rsid w:val="004E489D"/>
    <w:rsid w:val="004E5118"/>
    <w:rsid w:val="004E66D5"/>
    <w:rsid w:val="004E70E8"/>
    <w:rsid w:val="004F1A82"/>
    <w:rsid w:val="004F2498"/>
    <w:rsid w:val="004F4331"/>
    <w:rsid w:val="004F5687"/>
    <w:rsid w:val="004F7AB8"/>
    <w:rsid w:val="00500FF4"/>
    <w:rsid w:val="005013F2"/>
    <w:rsid w:val="00501C11"/>
    <w:rsid w:val="00502836"/>
    <w:rsid w:val="00504CC2"/>
    <w:rsid w:val="0050525C"/>
    <w:rsid w:val="00505D98"/>
    <w:rsid w:val="00511FC6"/>
    <w:rsid w:val="00513934"/>
    <w:rsid w:val="00515BD9"/>
    <w:rsid w:val="00515BF5"/>
    <w:rsid w:val="00516B6B"/>
    <w:rsid w:val="00517D6A"/>
    <w:rsid w:val="00530AC8"/>
    <w:rsid w:val="00530DB6"/>
    <w:rsid w:val="00537D05"/>
    <w:rsid w:val="00542DE3"/>
    <w:rsid w:val="005457FC"/>
    <w:rsid w:val="00555369"/>
    <w:rsid w:val="00556FE5"/>
    <w:rsid w:val="005604AF"/>
    <w:rsid w:val="00561CE6"/>
    <w:rsid w:val="005641C6"/>
    <w:rsid w:val="00565991"/>
    <w:rsid w:val="005669F4"/>
    <w:rsid w:val="005753EC"/>
    <w:rsid w:val="005756AB"/>
    <w:rsid w:val="00576EE9"/>
    <w:rsid w:val="00581CF4"/>
    <w:rsid w:val="00583C0F"/>
    <w:rsid w:val="005845E7"/>
    <w:rsid w:val="00586DC7"/>
    <w:rsid w:val="00590045"/>
    <w:rsid w:val="005917EB"/>
    <w:rsid w:val="00594EA3"/>
    <w:rsid w:val="005957CA"/>
    <w:rsid w:val="005A0AAB"/>
    <w:rsid w:val="005A1E05"/>
    <w:rsid w:val="005A5E6F"/>
    <w:rsid w:val="005B0B48"/>
    <w:rsid w:val="005B3428"/>
    <w:rsid w:val="005B7D77"/>
    <w:rsid w:val="005C0192"/>
    <w:rsid w:val="005C0734"/>
    <w:rsid w:val="005C1992"/>
    <w:rsid w:val="005C4C3D"/>
    <w:rsid w:val="005D034F"/>
    <w:rsid w:val="005D3743"/>
    <w:rsid w:val="005E0BF1"/>
    <w:rsid w:val="005E48ED"/>
    <w:rsid w:val="005E4C2F"/>
    <w:rsid w:val="005E4DFF"/>
    <w:rsid w:val="005E5511"/>
    <w:rsid w:val="005F47FF"/>
    <w:rsid w:val="005F541B"/>
    <w:rsid w:val="005F574C"/>
    <w:rsid w:val="005F5FB3"/>
    <w:rsid w:val="00600936"/>
    <w:rsid w:val="00607919"/>
    <w:rsid w:val="00610734"/>
    <w:rsid w:val="00610985"/>
    <w:rsid w:val="00611A42"/>
    <w:rsid w:val="006136FA"/>
    <w:rsid w:val="00616DB5"/>
    <w:rsid w:val="006220FA"/>
    <w:rsid w:val="00625B06"/>
    <w:rsid w:val="00625F2E"/>
    <w:rsid w:val="006316C7"/>
    <w:rsid w:val="00633841"/>
    <w:rsid w:val="006339E1"/>
    <w:rsid w:val="00636BA6"/>
    <w:rsid w:val="0064114C"/>
    <w:rsid w:val="00646728"/>
    <w:rsid w:val="006471A1"/>
    <w:rsid w:val="00657318"/>
    <w:rsid w:val="00660685"/>
    <w:rsid w:val="00661DDE"/>
    <w:rsid w:val="00662239"/>
    <w:rsid w:val="00666550"/>
    <w:rsid w:val="00670886"/>
    <w:rsid w:val="00673FCC"/>
    <w:rsid w:val="00677550"/>
    <w:rsid w:val="00681336"/>
    <w:rsid w:val="00682C17"/>
    <w:rsid w:val="0068558E"/>
    <w:rsid w:val="00685A71"/>
    <w:rsid w:val="006861A7"/>
    <w:rsid w:val="00690052"/>
    <w:rsid w:val="0069008B"/>
    <w:rsid w:val="00690F92"/>
    <w:rsid w:val="00693945"/>
    <w:rsid w:val="00694854"/>
    <w:rsid w:val="00696A29"/>
    <w:rsid w:val="006A0978"/>
    <w:rsid w:val="006A15E9"/>
    <w:rsid w:val="006A2B04"/>
    <w:rsid w:val="006A428F"/>
    <w:rsid w:val="006A587A"/>
    <w:rsid w:val="006A684B"/>
    <w:rsid w:val="006A6E37"/>
    <w:rsid w:val="006B2869"/>
    <w:rsid w:val="006B2F1C"/>
    <w:rsid w:val="006B459A"/>
    <w:rsid w:val="006B4934"/>
    <w:rsid w:val="006B5270"/>
    <w:rsid w:val="006C04AA"/>
    <w:rsid w:val="006C5350"/>
    <w:rsid w:val="006C6EAD"/>
    <w:rsid w:val="006C7979"/>
    <w:rsid w:val="006D139A"/>
    <w:rsid w:val="006D13D4"/>
    <w:rsid w:val="006D1C45"/>
    <w:rsid w:val="006D282E"/>
    <w:rsid w:val="006D33E3"/>
    <w:rsid w:val="006E0541"/>
    <w:rsid w:val="006E322B"/>
    <w:rsid w:val="006E7113"/>
    <w:rsid w:val="006F0FDA"/>
    <w:rsid w:val="006F6E2B"/>
    <w:rsid w:val="00700081"/>
    <w:rsid w:val="0070028E"/>
    <w:rsid w:val="0070318E"/>
    <w:rsid w:val="00704737"/>
    <w:rsid w:val="00704DCD"/>
    <w:rsid w:val="0070512F"/>
    <w:rsid w:val="00707C1A"/>
    <w:rsid w:val="00712D8D"/>
    <w:rsid w:val="007151B2"/>
    <w:rsid w:val="007171C1"/>
    <w:rsid w:val="00730C63"/>
    <w:rsid w:val="00731DE8"/>
    <w:rsid w:val="00733368"/>
    <w:rsid w:val="007344A6"/>
    <w:rsid w:val="00736D0E"/>
    <w:rsid w:val="007405A3"/>
    <w:rsid w:val="00741B66"/>
    <w:rsid w:val="00745AAF"/>
    <w:rsid w:val="0075007C"/>
    <w:rsid w:val="00750955"/>
    <w:rsid w:val="00750C69"/>
    <w:rsid w:val="00751C3A"/>
    <w:rsid w:val="00753430"/>
    <w:rsid w:val="00755451"/>
    <w:rsid w:val="00755B63"/>
    <w:rsid w:val="007561E3"/>
    <w:rsid w:val="007563A9"/>
    <w:rsid w:val="0076158D"/>
    <w:rsid w:val="007621D4"/>
    <w:rsid w:val="00764EB1"/>
    <w:rsid w:val="0076525B"/>
    <w:rsid w:val="00767B2F"/>
    <w:rsid w:val="00771142"/>
    <w:rsid w:val="007744EA"/>
    <w:rsid w:val="0077582E"/>
    <w:rsid w:val="00786750"/>
    <w:rsid w:val="00786C48"/>
    <w:rsid w:val="00790954"/>
    <w:rsid w:val="007912BE"/>
    <w:rsid w:val="00793371"/>
    <w:rsid w:val="007947E0"/>
    <w:rsid w:val="00795C96"/>
    <w:rsid w:val="007A2B51"/>
    <w:rsid w:val="007A405F"/>
    <w:rsid w:val="007A50D4"/>
    <w:rsid w:val="007A610E"/>
    <w:rsid w:val="007A74C9"/>
    <w:rsid w:val="007B06E0"/>
    <w:rsid w:val="007B13C9"/>
    <w:rsid w:val="007B62A8"/>
    <w:rsid w:val="007B6880"/>
    <w:rsid w:val="007B7BCB"/>
    <w:rsid w:val="007C16FA"/>
    <w:rsid w:val="007C58C8"/>
    <w:rsid w:val="007C5B31"/>
    <w:rsid w:val="007D3F96"/>
    <w:rsid w:val="007D43F5"/>
    <w:rsid w:val="007D5D95"/>
    <w:rsid w:val="007D6202"/>
    <w:rsid w:val="007E2C1B"/>
    <w:rsid w:val="007E2C76"/>
    <w:rsid w:val="007E3566"/>
    <w:rsid w:val="007E3E90"/>
    <w:rsid w:val="007E4F35"/>
    <w:rsid w:val="007E6020"/>
    <w:rsid w:val="007E645C"/>
    <w:rsid w:val="007E6991"/>
    <w:rsid w:val="007F3E74"/>
    <w:rsid w:val="007F3EF1"/>
    <w:rsid w:val="007F7C9B"/>
    <w:rsid w:val="00800477"/>
    <w:rsid w:val="00802FC6"/>
    <w:rsid w:val="00806754"/>
    <w:rsid w:val="00806AB1"/>
    <w:rsid w:val="00807C3B"/>
    <w:rsid w:val="00813B32"/>
    <w:rsid w:val="00814900"/>
    <w:rsid w:val="008227B1"/>
    <w:rsid w:val="00823FFD"/>
    <w:rsid w:val="00824797"/>
    <w:rsid w:val="0082596A"/>
    <w:rsid w:val="008259F0"/>
    <w:rsid w:val="008276F5"/>
    <w:rsid w:val="00827997"/>
    <w:rsid w:val="00833624"/>
    <w:rsid w:val="008362B0"/>
    <w:rsid w:val="00837E0D"/>
    <w:rsid w:val="00846827"/>
    <w:rsid w:val="00846C61"/>
    <w:rsid w:val="00847015"/>
    <w:rsid w:val="0085093E"/>
    <w:rsid w:val="00857E46"/>
    <w:rsid w:val="0086354C"/>
    <w:rsid w:val="0086520D"/>
    <w:rsid w:val="008677DD"/>
    <w:rsid w:val="008706ED"/>
    <w:rsid w:val="00874E8B"/>
    <w:rsid w:val="008758B4"/>
    <w:rsid w:val="00880C15"/>
    <w:rsid w:val="00881762"/>
    <w:rsid w:val="00881E0F"/>
    <w:rsid w:val="00881F85"/>
    <w:rsid w:val="008824F8"/>
    <w:rsid w:val="008839B6"/>
    <w:rsid w:val="0089676B"/>
    <w:rsid w:val="008A23D2"/>
    <w:rsid w:val="008A2BD8"/>
    <w:rsid w:val="008A7507"/>
    <w:rsid w:val="008B3343"/>
    <w:rsid w:val="008B35C6"/>
    <w:rsid w:val="008C0C39"/>
    <w:rsid w:val="008C1526"/>
    <w:rsid w:val="008C1B25"/>
    <w:rsid w:val="008C4355"/>
    <w:rsid w:val="008C47E3"/>
    <w:rsid w:val="008C551D"/>
    <w:rsid w:val="008C6FAF"/>
    <w:rsid w:val="008D2ECD"/>
    <w:rsid w:val="008D38F0"/>
    <w:rsid w:val="008D49A4"/>
    <w:rsid w:val="008D53B0"/>
    <w:rsid w:val="008D6B85"/>
    <w:rsid w:val="008D7B1F"/>
    <w:rsid w:val="008E128A"/>
    <w:rsid w:val="008E46E3"/>
    <w:rsid w:val="008E5033"/>
    <w:rsid w:val="008E5556"/>
    <w:rsid w:val="008E6F53"/>
    <w:rsid w:val="008E7B3D"/>
    <w:rsid w:val="008F37BD"/>
    <w:rsid w:val="008F6112"/>
    <w:rsid w:val="008F6FF5"/>
    <w:rsid w:val="008F7D44"/>
    <w:rsid w:val="0090132F"/>
    <w:rsid w:val="00901BAC"/>
    <w:rsid w:val="009034C0"/>
    <w:rsid w:val="00906B40"/>
    <w:rsid w:val="00906EBE"/>
    <w:rsid w:val="00907309"/>
    <w:rsid w:val="00910DCA"/>
    <w:rsid w:val="00915311"/>
    <w:rsid w:val="009163BC"/>
    <w:rsid w:val="00922D20"/>
    <w:rsid w:val="009238AB"/>
    <w:rsid w:val="00925ECC"/>
    <w:rsid w:val="00930B07"/>
    <w:rsid w:val="00937B8A"/>
    <w:rsid w:val="00942575"/>
    <w:rsid w:val="009439D5"/>
    <w:rsid w:val="00944226"/>
    <w:rsid w:val="00950454"/>
    <w:rsid w:val="00951606"/>
    <w:rsid w:val="009526D8"/>
    <w:rsid w:val="00957696"/>
    <w:rsid w:val="00960E1B"/>
    <w:rsid w:val="00961181"/>
    <w:rsid w:val="0096306F"/>
    <w:rsid w:val="009631EF"/>
    <w:rsid w:val="009723C3"/>
    <w:rsid w:val="00973D90"/>
    <w:rsid w:val="0097443C"/>
    <w:rsid w:val="0097467D"/>
    <w:rsid w:val="00976F21"/>
    <w:rsid w:val="009773B1"/>
    <w:rsid w:val="009773EE"/>
    <w:rsid w:val="00977E8F"/>
    <w:rsid w:val="00980480"/>
    <w:rsid w:val="009813FF"/>
    <w:rsid w:val="00981D93"/>
    <w:rsid w:val="009844DF"/>
    <w:rsid w:val="00985861"/>
    <w:rsid w:val="009858B6"/>
    <w:rsid w:val="009928F9"/>
    <w:rsid w:val="009945C4"/>
    <w:rsid w:val="00996780"/>
    <w:rsid w:val="009A2D0F"/>
    <w:rsid w:val="009A31E5"/>
    <w:rsid w:val="009A5966"/>
    <w:rsid w:val="009A6621"/>
    <w:rsid w:val="009B03FD"/>
    <w:rsid w:val="009B2B56"/>
    <w:rsid w:val="009B62E3"/>
    <w:rsid w:val="009B75E0"/>
    <w:rsid w:val="009C12BB"/>
    <w:rsid w:val="009C26A9"/>
    <w:rsid w:val="009D1B12"/>
    <w:rsid w:val="009D5452"/>
    <w:rsid w:val="009D5C7B"/>
    <w:rsid w:val="009D6312"/>
    <w:rsid w:val="009E18E7"/>
    <w:rsid w:val="009E528A"/>
    <w:rsid w:val="009E5BA9"/>
    <w:rsid w:val="009F0B3C"/>
    <w:rsid w:val="009F0FEB"/>
    <w:rsid w:val="009F1AFE"/>
    <w:rsid w:val="009F1FF6"/>
    <w:rsid w:val="009F30AA"/>
    <w:rsid w:val="009F4997"/>
    <w:rsid w:val="009F4D07"/>
    <w:rsid w:val="00A0142D"/>
    <w:rsid w:val="00A04635"/>
    <w:rsid w:val="00A06444"/>
    <w:rsid w:val="00A0753E"/>
    <w:rsid w:val="00A07B36"/>
    <w:rsid w:val="00A11FA8"/>
    <w:rsid w:val="00A12548"/>
    <w:rsid w:val="00A12CAF"/>
    <w:rsid w:val="00A1387D"/>
    <w:rsid w:val="00A13F21"/>
    <w:rsid w:val="00A14511"/>
    <w:rsid w:val="00A2140C"/>
    <w:rsid w:val="00A22A29"/>
    <w:rsid w:val="00A23B07"/>
    <w:rsid w:val="00A2423C"/>
    <w:rsid w:val="00A26DAD"/>
    <w:rsid w:val="00A27749"/>
    <w:rsid w:val="00A30C44"/>
    <w:rsid w:val="00A31CE3"/>
    <w:rsid w:val="00A35D13"/>
    <w:rsid w:val="00A36B65"/>
    <w:rsid w:val="00A4278A"/>
    <w:rsid w:val="00A44845"/>
    <w:rsid w:val="00A45EEC"/>
    <w:rsid w:val="00A470B7"/>
    <w:rsid w:val="00A506F1"/>
    <w:rsid w:val="00A50D75"/>
    <w:rsid w:val="00A51BA9"/>
    <w:rsid w:val="00A54C97"/>
    <w:rsid w:val="00A60628"/>
    <w:rsid w:val="00A63C0A"/>
    <w:rsid w:val="00A64D2D"/>
    <w:rsid w:val="00A652B5"/>
    <w:rsid w:val="00A65952"/>
    <w:rsid w:val="00A71D49"/>
    <w:rsid w:val="00A72A7A"/>
    <w:rsid w:val="00A75C1A"/>
    <w:rsid w:val="00A76645"/>
    <w:rsid w:val="00A8018E"/>
    <w:rsid w:val="00A9022A"/>
    <w:rsid w:val="00A916A3"/>
    <w:rsid w:val="00A92C52"/>
    <w:rsid w:val="00A940CD"/>
    <w:rsid w:val="00A976D9"/>
    <w:rsid w:val="00A9775B"/>
    <w:rsid w:val="00AA2A29"/>
    <w:rsid w:val="00AA5854"/>
    <w:rsid w:val="00AB3BC2"/>
    <w:rsid w:val="00AC0CB8"/>
    <w:rsid w:val="00AC1027"/>
    <w:rsid w:val="00AC13C7"/>
    <w:rsid w:val="00AC14D6"/>
    <w:rsid w:val="00AC33C6"/>
    <w:rsid w:val="00AC51FE"/>
    <w:rsid w:val="00AC5414"/>
    <w:rsid w:val="00AC561D"/>
    <w:rsid w:val="00AC678F"/>
    <w:rsid w:val="00AC67CA"/>
    <w:rsid w:val="00AD1532"/>
    <w:rsid w:val="00AD177C"/>
    <w:rsid w:val="00AD208E"/>
    <w:rsid w:val="00AD30F5"/>
    <w:rsid w:val="00AD3C2B"/>
    <w:rsid w:val="00AD41EE"/>
    <w:rsid w:val="00AD5A0D"/>
    <w:rsid w:val="00AD7DB4"/>
    <w:rsid w:val="00AF03D8"/>
    <w:rsid w:val="00AF5AC0"/>
    <w:rsid w:val="00AF5E5E"/>
    <w:rsid w:val="00AF6F21"/>
    <w:rsid w:val="00B00037"/>
    <w:rsid w:val="00B02F57"/>
    <w:rsid w:val="00B03A56"/>
    <w:rsid w:val="00B06059"/>
    <w:rsid w:val="00B14304"/>
    <w:rsid w:val="00B1488B"/>
    <w:rsid w:val="00B21C69"/>
    <w:rsid w:val="00B24263"/>
    <w:rsid w:val="00B3056F"/>
    <w:rsid w:val="00B332A6"/>
    <w:rsid w:val="00B3648E"/>
    <w:rsid w:val="00B3693F"/>
    <w:rsid w:val="00B4623B"/>
    <w:rsid w:val="00B4677E"/>
    <w:rsid w:val="00B54884"/>
    <w:rsid w:val="00B55358"/>
    <w:rsid w:val="00B554D1"/>
    <w:rsid w:val="00B57C34"/>
    <w:rsid w:val="00B6012D"/>
    <w:rsid w:val="00B6065A"/>
    <w:rsid w:val="00B61C50"/>
    <w:rsid w:val="00B64195"/>
    <w:rsid w:val="00B64BC0"/>
    <w:rsid w:val="00B65A22"/>
    <w:rsid w:val="00B65E92"/>
    <w:rsid w:val="00B720C3"/>
    <w:rsid w:val="00B76D55"/>
    <w:rsid w:val="00B83C9B"/>
    <w:rsid w:val="00B86447"/>
    <w:rsid w:val="00B91E4D"/>
    <w:rsid w:val="00B93EC1"/>
    <w:rsid w:val="00B9753F"/>
    <w:rsid w:val="00BB3231"/>
    <w:rsid w:val="00BB356B"/>
    <w:rsid w:val="00BB36A4"/>
    <w:rsid w:val="00BC2187"/>
    <w:rsid w:val="00BC33DB"/>
    <w:rsid w:val="00BC3AAC"/>
    <w:rsid w:val="00BC4D0E"/>
    <w:rsid w:val="00BC6877"/>
    <w:rsid w:val="00BD05A0"/>
    <w:rsid w:val="00BD36E4"/>
    <w:rsid w:val="00BD4B02"/>
    <w:rsid w:val="00BD4BFA"/>
    <w:rsid w:val="00BD4E67"/>
    <w:rsid w:val="00BD4EC8"/>
    <w:rsid w:val="00BD60A1"/>
    <w:rsid w:val="00BE15CD"/>
    <w:rsid w:val="00BE4E15"/>
    <w:rsid w:val="00BE571A"/>
    <w:rsid w:val="00BE5BD2"/>
    <w:rsid w:val="00BE6D19"/>
    <w:rsid w:val="00BE71CB"/>
    <w:rsid w:val="00BF1D5E"/>
    <w:rsid w:val="00BF3DD0"/>
    <w:rsid w:val="00BF69C7"/>
    <w:rsid w:val="00BF7AFE"/>
    <w:rsid w:val="00C03730"/>
    <w:rsid w:val="00C1256B"/>
    <w:rsid w:val="00C16071"/>
    <w:rsid w:val="00C22171"/>
    <w:rsid w:val="00C22844"/>
    <w:rsid w:val="00C335E4"/>
    <w:rsid w:val="00C37032"/>
    <w:rsid w:val="00C37BFE"/>
    <w:rsid w:val="00C40AAA"/>
    <w:rsid w:val="00C44AA3"/>
    <w:rsid w:val="00C45198"/>
    <w:rsid w:val="00C4650A"/>
    <w:rsid w:val="00C47C81"/>
    <w:rsid w:val="00C55B80"/>
    <w:rsid w:val="00C56F4B"/>
    <w:rsid w:val="00C5799D"/>
    <w:rsid w:val="00C57AD3"/>
    <w:rsid w:val="00C63072"/>
    <w:rsid w:val="00C64E32"/>
    <w:rsid w:val="00C67A1B"/>
    <w:rsid w:val="00C7243F"/>
    <w:rsid w:val="00C82760"/>
    <w:rsid w:val="00C828A6"/>
    <w:rsid w:val="00C836CF"/>
    <w:rsid w:val="00C838B8"/>
    <w:rsid w:val="00C85F09"/>
    <w:rsid w:val="00C937B6"/>
    <w:rsid w:val="00C946F7"/>
    <w:rsid w:val="00C9703C"/>
    <w:rsid w:val="00C97BB5"/>
    <w:rsid w:val="00CA0C5A"/>
    <w:rsid w:val="00CA194B"/>
    <w:rsid w:val="00CA1BC0"/>
    <w:rsid w:val="00CA25DD"/>
    <w:rsid w:val="00CA6031"/>
    <w:rsid w:val="00CA6535"/>
    <w:rsid w:val="00CB26A9"/>
    <w:rsid w:val="00CB640F"/>
    <w:rsid w:val="00CC0D6F"/>
    <w:rsid w:val="00CC3456"/>
    <w:rsid w:val="00CC4C71"/>
    <w:rsid w:val="00CD729E"/>
    <w:rsid w:val="00CD7CC0"/>
    <w:rsid w:val="00CD7D63"/>
    <w:rsid w:val="00CE059D"/>
    <w:rsid w:val="00CE2202"/>
    <w:rsid w:val="00CE3778"/>
    <w:rsid w:val="00CE48A7"/>
    <w:rsid w:val="00CE7FB2"/>
    <w:rsid w:val="00CF1076"/>
    <w:rsid w:val="00CF16A8"/>
    <w:rsid w:val="00CF5A12"/>
    <w:rsid w:val="00CF5A61"/>
    <w:rsid w:val="00CF5F92"/>
    <w:rsid w:val="00D0356F"/>
    <w:rsid w:val="00D05283"/>
    <w:rsid w:val="00D05FBC"/>
    <w:rsid w:val="00D06643"/>
    <w:rsid w:val="00D06BA9"/>
    <w:rsid w:val="00D12470"/>
    <w:rsid w:val="00D1402A"/>
    <w:rsid w:val="00D143AB"/>
    <w:rsid w:val="00D15D1F"/>
    <w:rsid w:val="00D15E6C"/>
    <w:rsid w:val="00D16ED3"/>
    <w:rsid w:val="00D1763E"/>
    <w:rsid w:val="00D2092A"/>
    <w:rsid w:val="00D22F08"/>
    <w:rsid w:val="00D23900"/>
    <w:rsid w:val="00D30657"/>
    <w:rsid w:val="00D34D51"/>
    <w:rsid w:val="00D462D0"/>
    <w:rsid w:val="00D46C58"/>
    <w:rsid w:val="00D53089"/>
    <w:rsid w:val="00D565F8"/>
    <w:rsid w:val="00D67D8E"/>
    <w:rsid w:val="00D705A2"/>
    <w:rsid w:val="00D743FB"/>
    <w:rsid w:val="00D75C8E"/>
    <w:rsid w:val="00D81144"/>
    <w:rsid w:val="00D81616"/>
    <w:rsid w:val="00D84B2E"/>
    <w:rsid w:val="00D861AF"/>
    <w:rsid w:val="00D86F24"/>
    <w:rsid w:val="00D8740C"/>
    <w:rsid w:val="00D87C65"/>
    <w:rsid w:val="00D90CB0"/>
    <w:rsid w:val="00D90EAA"/>
    <w:rsid w:val="00D95323"/>
    <w:rsid w:val="00D9570D"/>
    <w:rsid w:val="00D95D37"/>
    <w:rsid w:val="00DA22D0"/>
    <w:rsid w:val="00DA2F2E"/>
    <w:rsid w:val="00DA2FD0"/>
    <w:rsid w:val="00DA4FF5"/>
    <w:rsid w:val="00DA5FFB"/>
    <w:rsid w:val="00DA6E2B"/>
    <w:rsid w:val="00DA6F6D"/>
    <w:rsid w:val="00DB0140"/>
    <w:rsid w:val="00DB02F7"/>
    <w:rsid w:val="00DB63F3"/>
    <w:rsid w:val="00DC3330"/>
    <w:rsid w:val="00DC38B4"/>
    <w:rsid w:val="00DC3B5E"/>
    <w:rsid w:val="00DC4600"/>
    <w:rsid w:val="00DC656E"/>
    <w:rsid w:val="00DD0D27"/>
    <w:rsid w:val="00DD243B"/>
    <w:rsid w:val="00DD45D0"/>
    <w:rsid w:val="00DD5846"/>
    <w:rsid w:val="00DD5E91"/>
    <w:rsid w:val="00DE196C"/>
    <w:rsid w:val="00DE25A1"/>
    <w:rsid w:val="00DE6A6C"/>
    <w:rsid w:val="00DF1797"/>
    <w:rsid w:val="00DF5993"/>
    <w:rsid w:val="00DF7DBD"/>
    <w:rsid w:val="00DF7F17"/>
    <w:rsid w:val="00E00846"/>
    <w:rsid w:val="00E024F7"/>
    <w:rsid w:val="00E03D22"/>
    <w:rsid w:val="00E048B6"/>
    <w:rsid w:val="00E04E7C"/>
    <w:rsid w:val="00E05DDB"/>
    <w:rsid w:val="00E064BC"/>
    <w:rsid w:val="00E069F1"/>
    <w:rsid w:val="00E077C6"/>
    <w:rsid w:val="00E11BA7"/>
    <w:rsid w:val="00E121B2"/>
    <w:rsid w:val="00E12FA1"/>
    <w:rsid w:val="00E16DDA"/>
    <w:rsid w:val="00E21B57"/>
    <w:rsid w:val="00E21EBE"/>
    <w:rsid w:val="00E2446A"/>
    <w:rsid w:val="00E24531"/>
    <w:rsid w:val="00E2537B"/>
    <w:rsid w:val="00E259E5"/>
    <w:rsid w:val="00E27522"/>
    <w:rsid w:val="00E31FCC"/>
    <w:rsid w:val="00E353BA"/>
    <w:rsid w:val="00E36A8C"/>
    <w:rsid w:val="00E44516"/>
    <w:rsid w:val="00E4637D"/>
    <w:rsid w:val="00E53D4E"/>
    <w:rsid w:val="00E57CD3"/>
    <w:rsid w:val="00E57DB2"/>
    <w:rsid w:val="00E57DE9"/>
    <w:rsid w:val="00E57F23"/>
    <w:rsid w:val="00E70A92"/>
    <w:rsid w:val="00E70D97"/>
    <w:rsid w:val="00E718A6"/>
    <w:rsid w:val="00E80578"/>
    <w:rsid w:val="00E83133"/>
    <w:rsid w:val="00E842B7"/>
    <w:rsid w:val="00EA3FC9"/>
    <w:rsid w:val="00EA4CC8"/>
    <w:rsid w:val="00EA4CE9"/>
    <w:rsid w:val="00EB00E4"/>
    <w:rsid w:val="00EB0CB0"/>
    <w:rsid w:val="00EB2F15"/>
    <w:rsid w:val="00EB3216"/>
    <w:rsid w:val="00EB3C60"/>
    <w:rsid w:val="00EB3C78"/>
    <w:rsid w:val="00EB488B"/>
    <w:rsid w:val="00EB6A01"/>
    <w:rsid w:val="00EB7941"/>
    <w:rsid w:val="00EC12DB"/>
    <w:rsid w:val="00EC1B47"/>
    <w:rsid w:val="00EC4435"/>
    <w:rsid w:val="00EC4A7D"/>
    <w:rsid w:val="00ED1B81"/>
    <w:rsid w:val="00ED2CB9"/>
    <w:rsid w:val="00ED5FF5"/>
    <w:rsid w:val="00ED6B22"/>
    <w:rsid w:val="00ED7E48"/>
    <w:rsid w:val="00EE438B"/>
    <w:rsid w:val="00EE69BE"/>
    <w:rsid w:val="00EF0B5E"/>
    <w:rsid w:val="00EF605C"/>
    <w:rsid w:val="00EF7D27"/>
    <w:rsid w:val="00F054AD"/>
    <w:rsid w:val="00F0609D"/>
    <w:rsid w:val="00F078A4"/>
    <w:rsid w:val="00F12928"/>
    <w:rsid w:val="00F15A78"/>
    <w:rsid w:val="00F2421E"/>
    <w:rsid w:val="00F27BAB"/>
    <w:rsid w:val="00F315E8"/>
    <w:rsid w:val="00F336DA"/>
    <w:rsid w:val="00F34303"/>
    <w:rsid w:val="00F34A82"/>
    <w:rsid w:val="00F350A6"/>
    <w:rsid w:val="00F35ABB"/>
    <w:rsid w:val="00F374BF"/>
    <w:rsid w:val="00F37F09"/>
    <w:rsid w:val="00F40CEA"/>
    <w:rsid w:val="00F41849"/>
    <w:rsid w:val="00F41A63"/>
    <w:rsid w:val="00F42C3D"/>
    <w:rsid w:val="00F46690"/>
    <w:rsid w:val="00F47406"/>
    <w:rsid w:val="00F54207"/>
    <w:rsid w:val="00F55852"/>
    <w:rsid w:val="00F56871"/>
    <w:rsid w:val="00F602A5"/>
    <w:rsid w:val="00F602B4"/>
    <w:rsid w:val="00F63066"/>
    <w:rsid w:val="00F631FA"/>
    <w:rsid w:val="00F649AA"/>
    <w:rsid w:val="00F64F02"/>
    <w:rsid w:val="00F65069"/>
    <w:rsid w:val="00F6673D"/>
    <w:rsid w:val="00F71F55"/>
    <w:rsid w:val="00F85A6D"/>
    <w:rsid w:val="00F86C3E"/>
    <w:rsid w:val="00F9154F"/>
    <w:rsid w:val="00F92C89"/>
    <w:rsid w:val="00F97187"/>
    <w:rsid w:val="00F97CA1"/>
    <w:rsid w:val="00FA5C56"/>
    <w:rsid w:val="00FB14B3"/>
    <w:rsid w:val="00FB5A8E"/>
    <w:rsid w:val="00FC04AB"/>
    <w:rsid w:val="00FC0D2F"/>
    <w:rsid w:val="00FC2B70"/>
    <w:rsid w:val="00FC5078"/>
    <w:rsid w:val="00FC52DE"/>
    <w:rsid w:val="00FC72A3"/>
    <w:rsid w:val="00FD35E9"/>
    <w:rsid w:val="00FD3D00"/>
    <w:rsid w:val="00FE190C"/>
    <w:rsid w:val="00FE1910"/>
    <w:rsid w:val="00FE6FA5"/>
    <w:rsid w:val="00FE7F8A"/>
    <w:rsid w:val="00FF3994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775A55-C8FA-4762-BFF7-AE11BAB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12D"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customStyle="1" w:styleId="bullet-list-1">
    <w:name w:val="bullet-list-1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bullet-list">
    <w:name w:val="bullet-list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LANKPAGE">
    <w:name w:val="BLANKPAGE"/>
    <w:basedOn w:val="DefaultParagraphFont"/>
    <w:rsid w:val="00C1256B"/>
  </w:style>
  <w:style w:type="character" w:customStyle="1" w:styleId="BodyTextChar">
    <w:name w:val="Body Text Char"/>
    <w:link w:val="BodyText"/>
    <w:uiPriority w:val="99"/>
    <w:rsid w:val="0076158D"/>
  </w:style>
  <w:style w:type="character" w:customStyle="1" w:styleId="Heading3Char">
    <w:name w:val="Heading 3 Char"/>
    <w:link w:val="Heading3"/>
    <w:rsid w:val="00B6012D"/>
    <w:rPr>
      <w:rFonts w:ascii="Arial" w:hAnsi="Arial"/>
      <w:b/>
      <w:kern w:val="28"/>
      <w:sz w:val="36"/>
    </w:rPr>
  </w:style>
  <w:style w:type="paragraph" w:styleId="BalloonText">
    <w:name w:val="Balloon Text"/>
    <w:basedOn w:val="Normal"/>
    <w:link w:val="BalloonTextChar"/>
    <w:rsid w:val="009D5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5C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5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2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44215-C8A9-4DD7-BCEA-389E8DF47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129</TotalTime>
  <Pages>4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Global 3000 Cash Manager - Revisions to Bank Reconciliation Import</dc:subject>
  <dc:creator>DCP</dc:creator>
  <cp:keywords>1.0</cp:keywords>
  <dc:description>This service pack provides additional options when importing bank reconciliation details.</dc:description>
  <cp:lastModifiedBy>Penfold, Dan</cp:lastModifiedBy>
  <cp:revision>10</cp:revision>
  <cp:lastPrinted>2002-03-05T15:24:00Z</cp:lastPrinted>
  <dcterms:created xsi:type="dcterms:W3CDTF">2015-09-16T15:58:00Z</dcterms:created>
  <dcterms:modified xsi:type="dcterms:W3CDTF">2015-09-17T10:32:00Z</dcterms:modified>
</cp:coreProperties>
</file>