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2B7" w:rsidRPr="008E645B" w:rsidRDefault="009E22DC">
      <w:pPr>
        <w:pStyle w:val="Title"/>
      </w:pPr>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9525"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D81616">
      <w:pPr>
        <w:pStyle w:val="Title"/>
      </w:pPr>
      <w:r>
        <w:t>Service Pack Note</w:t>
      </w:r>
    </w:p>
    <w:p w:rsidR="00E842B7" w:rsidRPr="008E645B" w:rsidRDefault="00E842B7"/>
    <w:p w:rsidR="00E842B7" w:rsidRPr="008E645B" w:rsidRDefault="00E842B7"/>
    <w:p w:rsidR="00E842B7" w:rsidRPr="008E645B" w:rsidRDefault="003862D7">
      <w:pPr>
        <w:pStyle w:val="Title"/>
      </w:pPr>
      <w:r>
        <w:fldChar w:fldCharType="begin"/>
      </w:r>
      <w:r>
        <w:instrText xml:space="preserve"> SUBJECT  \* MERGEFORMAT </w:instrText>
      </w:r>
      <w:r>
        <w:fldChar w:fldCharType="separate"/>
      </w:r>
      <w:r w:rsidR="00904453">
        <w:t>GL Financial Reporting - Formatted Spreadsheets</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Default="00DF22A0">
      <w:pPr>
        <w:rPr>
          <w:rFonts w:ascii="Arial" w:hAnsi="Arial"/>
          <w:b/>
          <w:sz w:val="22"/>
        </w:rPr>
      </w:pPr>
    </w:p>
    <w:p w:rsidR="007300EF" w:rsidRDefault="007300EF">
      <w:pPr>
        <w:rPr>
          <w:rFonts w:ascii="Arial" w:hAnsi="Arial"/>
          <w:b/>
          <w:sz w:val="22"/>
        </w:rPr>
      </w:pPr>
    </w:p>
    <w:p w:rsidR="00E842B7" w:rsidRDefault="00E842B7" w:rsidP="0036103A">
      <w:pPr>
        <w:rPr>
          <w:rFonts w:ascii="Arial" w:hAnsi="Arial"/>
          <w:b/>
          <w:sz w:val="22"/>
        </w:rPr>
      </w:pPr>
      <w:r w:rsidRPr="008E645B">
        <w:rPr>
          <w:rFonts w:ascii="Arial" w:hAnsi="Arial"/>
          <w:b/>
          <w:sz w:val="22"/>
        </w:rPr>
        <w:lastRenderedPageBreak/>
        <w:t>INTRODUCTION</w:t>
      </w:r>
    </w:p>
    <w:p w:rsidR="0044541D" w:rsidRPr="008E645B" w:rsidRDefault="0044541D" w:rsidP="0036103A">
      <w:pPr>
        <w:rPr>
          <w:rFonts w:ascii="Arial" w:hAnsi="Arial"/>
          <w:b/>
          <w:sz w:val="22"/>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904453">
        <w:rPr>
          <w:rFonts w:ascii="CG Omega" w:hAnsi="CG Omega"/>
          <w:sz w:val="24"/>
        </w:rPr>
        <w:t>This service pack provides the ability to export GL financial reports as formatted Microsoft Excel spreadsheets. In addition a number of reports can be grouped together in a 'report pack' and then printed/exported together.</w:t>
      </w:r>
      <w:r w:rsidRPr="008E645B">
        <w:rPr>
          <w:rFonts w:ascii="CG Omega" w:hAnsi="CG Omega"/>
          <w:sz w:val="24"/>
        </w:rPr>
        <w:fldChar w:fldCharType="end"/>
      </w:r>
    </w:p>
    <w:p w:rsidR="00E842B7" w:rsidRDefault="00E842B7">
      <w:pPr>
        <w:jc w:val="both"/>
      </w:pPr>
    </w:p>
    <w:p w:rsidR="00A00A5E" w:rsidRPr="008E645B" w:rsidRDefault="00A00A5E">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B38D9" w:rsidRPr="008E645B" w:rsidTr="007A6186">
        <w:trPr>
          <w:trHeight w:val="240"/>
        </w:trPr>
        <w:tc>
          <w:tcPr>
            <w:tcW w:w="10173" w:type="dxa"/>
          </w:tcPr>
          <w:p w:rsidR="003854AD" w:rsidRDefault="00196255" w:rsidP="003854AD">
            <w:pPr>
              <w:pStyle w:val="BodyText"/>
              <w:rPr>
                <w:rFonts w:ascii="CG Omega" w:hAnsi="CG Omega"/>
                <w:sz w:val="24"/>
              </w:rPr>
            </w:pPr>
            <w:r>
              <w:rPr>
                <w:rFonts w:ascii="CG Omega" w:hAnsi="CG Omega"/>
                <w:sz w:val="24"/>
              </w:rPr>
              <w:t>The changes are</w:t>
            </w:r>
            <w:r w:rsidR="003854AD">
              <w:rPr>
                <w:rFonts w:ascii="CG Omega" w:hAnsi="CG Omega"/>
                <w:sz w:val="24"/>
              </w:rPr>
              <w:t>:</w:t>
            </w:r>
          </w:p>
          <w:p w:rsidR="003854AD" w:rsidRDefault="003854AD" w:rsidP="00AC5E57">
            <w:pPr>
              <w:pStyle w:val="BodyText"/>
              <w:numPr>
                <w:ilvl w:val="0"/>
                <w:numId w:val="16"/>
              </w:numPr>
              <w:rPr>
                <w:rFonts w:ascii="CG Omega" w:hAnsi="CG Omega"/>
                <w:sz w:val="24"/>
              </w:rPr>
            </w:pPr>
            <w:r>
              <w:rPr>
                <w:rFonts w:ascii="CG Omega" w:hAnsi="CG Omega"/>
                <w:sz w:val="24"/>
              </w:rPr>
              <w:t xml:space="preserve">A new </w:t>
            </w:r>
            <w:r w:rsidR="00F8007F">
              <w:rPr>
                <w:rFonts w:ascii="CG Omega" w:hAnsi="CG Omega"/>
                <w:sz w:val="24"/>
              </w:rPr>
              <w:t xml:space="preserve">General Ledger </w:t>
            </w:r>
            <w:r>
              <w:rPr>
                <w:rFonts w:ascii="CG Omega" w:hAnsi="CG Omega"/>
                <w:sz w:val="24"/>
              </w:rPr>
              <w:t>system parameter has been added (</w:t>
            </w:r>
            <w:r w:rsidR="00F8007F">
              <w:rPr>
                <w:rFonts w:ascii="CG Omega" w:hAnsi="CG Omega"/>
                <w:sz w:val="24"/>
              </w:rPr>
              <w:t>named</w:t>
            </w:r>
            <w:r>
              <w:rPr>
                <w:rFonts w:ascii="CG Omega" w:hAnsi="CG Omega"/>
                <w:sz w:val="24"/>
              </w:rPr>
              <w:t xml:space="preserve"> ‘Export management reports to Excel formatted spreadsheets’), when </w:t>
            </w:r>
            <w:r w:rsidR="005C407A">
              <w:rPr>
                <w:rFonts w:ascii="CG Omega" w:hAnsi="CG Omega"/>
                <w:sz w:val="24"/>
              </w:rPr>
              <w:t xml:space="preserve">set </w:t>
            </w:r>
            <w:r>
              <w:rPr>
                <w:rFonts w:ascii="CG Omega" w:hAnsi="CG Omega"/>
                <w:sz w:val="24"/>
              </w:rPr>
              <w:t>management report</w:t>
            </w:r>
            <w:r w:rsidR="00F8007F">
              <w:rPr>
                <w:rFonts w:ascii="CG Omega" w:hAnsi="CG Omega"/>
                <w:sz w:val="24"/>
              </w:rPr>
              <w:t xml:space="preserve">s are </w:t>
            </w:r>
            <w:r>
              <w:rPr>
                <w:rFonts w:ascii="CG Omega" w:hAnsi="CG Omega"/>
                <w:sz w:val="24"/>
              </w:rPr>
              <w:t>loaded in to an Excel formatted spreadshee</w:t>
            </w:r>
            <w:r w:rsidR="00F8007F">
              <w:rPr>
                <w:rFonts w:ascii="CG Omega" w:hAnsi="CG Omega"/>
                <w:sz w:val="24"/>
              </w:rPr>
              <w:t>t whenever they are exported</w:t>
            </w:r>
            <w:r>
              <w:rPr>
                <w:rFonts w:ascii="CG Omega" w:hAnsi="CG Omega"/>
                <w:sz w:val="24"/>
              </w:rPr>
              <w:t>.</w:t>
            </w:r>
          </w:p>
          <w:p w:rsidR="003854AD" w:rsidRDefault="00F8007F" w:rsidP="00AC5E57">
            <w:pPr>
              <w:pStyle w:val="BodyText"/>
              <w:numPr>
                <w:ilvl w:val="0"/>
                <w:numId w:val="16"/>
              </w:numPr>
              <w:rPr>
                <w:rFonts w:ascii="CG Omega" w:hAnsi="CG Omega"/>
                <w:sz w:val="24"/>
              </w:rPr>
            </w:pPr>
            <w:r>
              <w:rPr>
                <w:rFonts w:ascii="CG Omega" w:hAnsi="CG Omega"/>
                <w:sz w:val="24"/>
              </w:rPr>
              <w:t>A new option (</w:t>
            </w:r>
            <w:r w:rsidR="00DF2126">
              <w:rPr>
                <w:rFonts w:ascii="CG Omega" w:hAnsi="CG Omega"/>
                <w:sz w:val="24"/>
              </w:rPr>
              <w:t>labelled ‘Amend</w:t>
            </w:r>
            <w:r>
              <w:rPr>
                <w:rFonts w:ascii="CG Omega" w:hAnsi="CG Omega"/>
                <w:sz w:val="24"/>
              </w:rPr>
              <w:t xml:space="preserve"> Report Packs’) has been added </w:t>
            </w:r>
            <w:r w:rsidR="00E9258B">
              <w:rPr>
                <w:rFonts w:ascii="CG Omega" w:hAnsi="CG Omega"/>
                <w:sz w:val="24"/>
              </w:rPr>
              <w:t>to the ‘Statement Definitions’ sub-menu.</w:t>
            </w:r>
            <w:r w:rsidR="00DF2126">
              <w:rPr>
                <w:rFonts w:ascii="CG Omega" w:hAnsi="CG Omega"/>
                <w:sz w:val="24"/>
              </w:rPr>
              <w:t xml:space="preserve"> A report pack is a group of existing </w:t>
            </w:r>
            <w:r w:rsidR="00AF741A">
              <w:rPr>
                <w:rFonts w:ascii="CG Omega" w:hAnsi="CG Omega"/>
                <w:sz w:val="24"/>
              </w:rPr>
              <w:t xml:space="preserve">standard reports </w:t>
            </w:r>
            <w:r w:rsidR="00B11E43">
              <w:rPr>
                <w:rFonts w:ascii="CG Omega" w:hAnsi="CG Omega"/>
                <w:sz w:val="24"/>
              </w:rPr>
              <w:t xml:space="preserve">that are printed/exported together. </w:t>
            </w:r>
          </w:p>
          <w:p w:rsidR="00B11E43" w:rsidRDefault="005C407A" w:rsidP="00AC5E57">
            <w:pPr>
              <w:pStyle w:val="BodyText"/>
              <w:numPr>
                <w:ilvl w:val="0"/>
                <w:numId w:val="16"/>
              </w:numPr>
              <w:rPr>
                <w:rFonts w:ascii="CG Omega" w:hAnsi="CG Omega"/>
                <w:sz w:val="24"/>
              </w:rPr>
            </w:pPr>
            <w:r>
              <w:rPr>
                <w:rFonts w:ascii="CG Omega" w:hAnsi="CG Omega"/>
                <w:sz w:val="24"/>
              </w:rPr>
              <w:t xml:space="preserve">General Ledger ‘Management Reports’ has been updated to allow a report pack to be selected, selecting a report pack causes each report belonging to it to be produced in sequence. </w:t>
            </w:r>
          </w:p>
        </w:tc>
      </w:tr>
      <w:tr w:rsidR="003854AD" w:rsidRPr="008E645B" w:rsidTr="007A6186">
        <w:trPr>
          <w:trHeight w:val="240"/>
        </w:trPr>
        <w:tc>
          <w:tcPr>
            <w:tcW w:w="10173" w:type="dxa"/>
          </w:tcPr>
          <w:p w:rsidR="007A354A" w:rsidRDefault="005C407A" w:rsidP="00400686">
            <w:pPr>
              <w:pStyle w:val="BodyText"/>
              <w:rPr>
                <w:rFonts w:ascii="CG Omega" w:hAnsi="CG Omega"/>
                <w:sz w:val="24"/>
              </w:rPr>
            </w:pPr>
            <w:r>
              <w:rPr>
                <w:rFonts w:ascii="CG Omega" w:hAnsi="CG Omega"/>
                <w:sz w:val="24"/>
              </w:rPr>
              <w:t xml:space="preserve">When </w:t>
            </w:r>
            <w:r w:rsidR="00BC3DE7">
              <w:rPr>
                <w:rFonts w:ascii="CG Omega" w:hAnsi="CG Omega"/>
                <w:sz w:val="24"/>
              </w:rPr>
              <w:t>General L</w:t>
            </w:r>
            <w:r w:rsidR="007A354A">
              <w:rPr>
                <w:rFonts w:ascii="CG Omega" w:hAnsi="CG Omega"/>
                <w:sz w:val="24"/>
              </w:rPr>
              <w:t xml:space="preserve">edger is configured to export </w:t>
            </w:r>
            <w:r w:rsidR="008414F7">
              <w:rPr>
                <w:rFonts w:ascii="CG Omega" w:hAnsi="CG Omega"/>
                <w:sz w:val="24"/>
              </w:rPr>
              <w:t>management reports to E</w:t>
            </w:r>
            <w:r>
              <w:rPr>
                <w:rFonts w:ascii="CG Omega" w:hAnsi="CG Omega"/>
                <w:sz w:val="24"/>
              </w:rPr>
              <w:t>xcel formatted spreadsheets</w:t>
            </w:r>
            <w:r w:rsidR="007A354A">
              <w:rPr>
                <w:rFonts w:ascii="CG Omega" w:hAnsi="CG Omega"/>
                <w:sz w:val="24"/>
              </w:rPr>
              <w:t>:</w:t>
            </w:r>
          </w:p>
          <w:p w:rsidR="007A354A" w:rsidRDefault="007A354A" w:rsidP="007A354A">
            <w:pPr>
              <w:pStyle w:val="BodyText"/>
              <w:numPr>
                <w:ilvl w:val="0"/>
                <w:numId w:val="17"/>
              </w:numPr>
              <w:rPr>
                <w:rFonts w:ascii="CG Omega" w:hAnsi="CG Omega"/>
                <w:sz w:val="24"/>
              </w:rPr>
            </w:pPr>
            <w:r>
              <w:rPr>
                <w:rFonts w:ascii="CG Omega" w:hAnsi="CG Omega"/>
                <w:sz w:val="24"/>
              </w:rPr>
              <w:t>T</w:t>
            </w:r>
            <w:r w:rsidR="005C407A">
              <w:rPr>
                <w:rFonts w:ascii="CG Omega" w:hAnsi="CG Omega"/>
                <w:sz w:val="24"/>
              </w:rPr>
              <w:t xml:space="preserve">he path that they are exported to is fixed </w:t>
            </w:r>
            <w:r w:rsidR="00400686">
              <w:rPr>
                <w:rFonts w:ascii="CG Omega" w:hAnsi="CG Omega"/>
                <w:sz w:val="24"/>
              </w:rPr>
              <w:t xml:space="preserve">to </w:t>
            </w:r>
            <w:r w:rsidR="005C407A">
              <w:rPr>
                <w:rFonts w:ascii="CG Omega" w:hAnsi="CG Omega"/>
                <w:sz w:val="24"/>
              </w:rPr>
              <w:t xml:space="preserve">the </w:t>
            </w:r>
            <w:r w:rsidR="00400686">
              <w:rPr>
                <w:rFonts w:ascii="CG Omega" w:hAnsi="CG Omega"/>
                <w:sz w:val="24"/>
              </w:rPr>
              <w:t>‘</w:t>
            </w:r>
            <w:r w:rsidR="005C407A">
              <w:rPr>
                <w:rFonts w:ascii="CG Omega" w:hAnsi="CG Omega"/>
                <w:sz w:val="24"/>
              </w:rPr>
              <w:t>\GLReports</w:t>
            </w:r>
            <w:r w:rsidR="00400686">
              <w:rPr>
                <w:rFonts w:ascii="CG Omega" w:hAnsi="CG Omega"/>
                <w:sz w:val="24"/>
              </w:rPr>
              <w:t>’ folder within the ‘GX’ folder (e.g. ‘C</w:t>
            </w:r>
            <w:proofErr w:type="gramStart"/>
            <w:r w:rsidR="00400686">
              <w:rPr>
                <w:rFonts w:ascii="CG Omega" w:hAnsi="CG Omega"/>
                <w:sz w:val="24"/>
              </w:rPr>
              <w:t>:\</w:t>
            </w:r>
            <w:proofErr w:type="gramEnd"/>
            <w:r w:rsidR="00400686">
              <w:rPr>
                <w:rFonts w:ascii="CG Omega" w:hAnsi="CG Omega"/>
                <w:sz w:val="24"/>
              </w:rPr>
              <w:t>GX\GLReports’) on the</w:t>
            </w:r>
            <w:r>
              <w:rPr>
                <w:rFonts w:ascii="CG Omega" w:hAnsi="CG Omega"/>
                <w:sz w:val="24"/>
              </w:rPr>
              <w:t xml:space="preserve"> users’ </w:t>
            </w:r>
            <w:r w:rsidR="00400686">
              <w:rPr>
                <w:rFonts w:ascii="CG Omega" w:hAnsi="CG Omega"/>
                <w:sz w:val="24"/>
              </w:rPr>
              <w:t>desktop (the system automatically creates this folder if it does not already exist).</w:t>
            </w:r>
            <w:r>
              <w:rPr>
                <w:rFonts w:ascii="CG Omega" w:hAnsi="CG Omega"/>
                <w:sz w:val="24"/>
              </w:rPr>
              <w:t xml:space="preserve"> </w:t>
            </w:r>
          </w:p>
          <w:p w:rsidR="00AC5E57" w:rsidRDefault="007A354A" w:rsidP="007A354A">
            <w:pPr>
              <w:pStyle w:val="BodyText"/>
              <w:numPr>
                <w:ilvl w:val="0"/>
                <w:numId w:val="17"/>
              </w:numPr>
              <w:rPr>
                <w:rFonts w:ascii="CG Omega" w:hAnsi="CG Omega"/>
                <w:sz w:val="24"/>
              </w:rPr>
            </w:pPr>
            <w:r>
              <w:rPr>
                <w:rFonts w:ascii="CG Omega" w:hAnsi="CG Omega"/>
                <w:sz w:val="24"/>
              </w:rPr>
              <w:t xml:space="preserve">If </w:t>
            </w:r>
            <w:r w:rsidR="005F7F35">
              <w:rPr>
                <w:rFonts w:ascii="CG Omega" w:hAnsi="CG Omega"/>
                <w:sz w:val="24"/>
              </w:rPr>
              <w:t xml:space="preserve">a report pack </w:t>
            </w:r>
            <w:r>
              <w:rPr>
                <w:rFonts w:ascii="CG Omega" w:hAnsi="CG Omega"/>
                <w:sz w:val="24"/>
              </w:rPr>
              <w:t xml:space="preserve">(rather than an individual report) </w:t>
            </w:r>
            <w:r w:rsidR="005F7F35">
              <w:rPr>
                <w:rFonts w:ascii="CG Omega" w:hAnsi="CG Omega"/>
                <w:sz w:val="24"/>
              </w:rPr>
              <w:t>is exported</w:t>
            </w:r>
            <w:r>
              <w:rPr>
                <w:rFonts w:ascii="CG Omega" w:hAnsi="CG Omega"/>
                <w:sz w:val="24"/>
              </w:rPr>
              <w:t>, the</w:t>
            </w:r>
            <w:r w:rsidR="005F7F35">
              <w:rPr>
                <w:rFonts w:ascii="CG Omega" w:hAnsi="CG Omega"/>
                <w:sz w:val="24"/>
              </w:rPr>
              <w:t xml:space="preserve"> reports are merged (as separate ‘tabs’) in a single spreadsheet the filename of which is the name of the report pack.</w:t>
            </w:r>
          </w:p>
          <w:p w:rsidR="00354767" w:rsidRPr="00AC5E57" w:rsidRDefault="0064728E" w:rsidP="004D444A">
            <w:pPr>
              <w:pStyle w:val="BodyText"/>
              <w:numPr>
                <w:ilvl w:val="0"/>
                <w:numId w:val="17"/>
              </w:numPr>
              <w:rPr>
                <w:rFonts w:ascii="CG Omega" w:hAnsi="CG Omega"/>
                <w:sz w:val="24"/>
              </w:rPr>
            </w:pPr>
            <w:r>
              <w:rPr>
                <w:rFonts w:ascii="CG Omega" w:hAnsi="CG Omega"/>
                <w:sz w:val="24"/>
              </w:rPr>
              <w:t xml:space="preserve">The appearance of the formatted spreadsheet </w:t>
            </w:r>
            <w:r w:rsidR="004D444A">
              <w:rPr>
                <w:rFonts w:ascii="CG Omega" w:hAnsi="CG Omega"/>
                <w:sz w:val="24"/>
              </w:rPr>
              <w:t>is controlled by a c</w:t>
            </w:r>
            <w:bookmarkStart w:id="0" w:name="_GoBack"/>
            <w:r w:rsidR="004D444A">
              <w:rPr>
                <w:rFonts w:ascii="CG Omega" w:hAnsi="CG Omega"/>
                <w:sz w:val="24"/>
              </w:rPr>
              <w:t>ustomis</w:t>
            </w:r>
            <w:bookmarkEnd w:id="0"/>
            <w:r w:rsidR="004D444A">
              <w:rPr>
                <w:rFonts w:ascii="CG Omega" w:hAnsi="CG Omega"/>
                <w:sz w:val="24"/>
              </w:rPr>
              <w:t>ation spreadsheet (</w:t>
            </w:r>
            <w:r w:rsidR="004D444A" w:rsidRPr="00AC5E57">
              <w:rPr>
                <w:rFonts w:ascii="CG Omega" w:hAnsi="CG Omega"/>
                <w:sz w:val="24"/>
                <w:szCs w:val="24"/>
              </w:rPr>
              <w:t>GLReportsCust.xlsx</w:t>
            </w:r>
            <w:r w:rsidR="004D444A">
              <w:rPr>
                <w:rFonts w:ascii="CG Omega" w:hAnsi="CG Omega"/>
                <w:sz w:val="24"/>
                <w:szCs w:val="24"/>
              </w:rPr>
              <w:t xml:space="preserve">). This </w:t>
            </w:r>
            <w:r>
              <w:rPr>
                <w:rFonts w:ascii="CG Omega" w:hAnsi="CG Omega"/>
                <w:sz w:val="24"/>
              </w:rPr>
              <w:t>can be tailored using the ‘Customise’ button</w:t>
            </w:r>
            <w:r w:rsidR="004D444A">
              <w:rPr>
                <w:rFonts w:ascii="CG Omega" w:hAnsi="CG Omega"/>
                <w:sz w:val="24"/>
              </w:rPr>
              <w:t xml:space="preserve"> available via the ‘Excel Formatted Statements’ parameter window. </w:t>
            </w:r>
            <w:r>
              <w:rPr>
                <w:rFonts w:ascii="CG Omega" w:hAnsi="CG Omega"/>
                <w:sz w:val="24"/>
              </w:rPr>
              <w:t xml:space="preserve"> </w:t>
            </w:r>
          </w:p>
        </w:tc>
      </w:tr>
      <w:tr w:rsidR="00357EA9" w:rsidRPr="008E645B" w:rsidTr="007A6186">
        <w:trPr>
          <w:trHeight w:val="240"/>
        </w:trPr>
        <w:tc>
          <w:tcPr>
            <w:tcW w:w="10173" w:type="dxa"/>
          </w:tcPr>
          <w:p w:rsidR="00357EA9" w:rsidRDefault="00357EA9" w:rsidP="00357EA9">
            <w:pPr>
              <w:pStyle w:val="BodyText"/>
              <w:rPr>
                <w:rFonts w:ascii="CG Omega" w:hAnsi="CG Omega"/>
                <w:sz w:val="24"/>
              </w:rPr>
            </w:pPr>
            <w:r>
              <w:rPr>
                <w:rFonts w:ascii="CG Omega" w:hAnsi="CG Omega"/>
                <w:sz w:val="24"/>
              </w:rPr>
              <w:t>Technical Requirements</w:t>
            </w:r>
            <w:r w:rsidR="008E646C">
              <w:rPr>
                <w:rFonts w:ascii="CG Omega" w:hAnsi="CG Omega"/>
                <w:sz w:val="24"/>
              </w:rPr>
              <w:t>/Initial System Set-Up</w:t>
            </w:r>
            <w:r>
              <w:rPr>
                <w:rFonts w:ascii="CG Omega" w:hAnsi="CG Omega"/>
                <w:sz w:val="24"/>
              </w:rPr>
              <w:t>:</w:t>
            </w:r>
          </w:p>
          <w:p w:rsidR="00357EA9" w:rsidRDefault="00357EA9" w:rsidP="007A354A">
            <w:pPr>
              <w:pStyle w:val="BodyText"/>
              <w:numPr>
                <w:ilvl w:val="0"/>
                <w:numId w:val="18"/>
              </w:numPr>
              <w:rPr>
                <w:rFonts w:ascii="CG Omega" w:hAnsi="CG Omega"/>
                <w:sz w:val="24"/>
                <w:szCs w:val="24"/>
              </w:rPr>
            </w:pPr>
            <w:r w:rsidRPr="00AC5E57">
              <w:rPr>
                <w:rFonts w:ascii="CG Omega" w:hAnsi="CG Omega"/>
                <w:sz w:val="24"/>
                <w:szCs w:val="24"/>
              </w:rPr>
              <w:t xml:space="preserve">A pre-supplied customisation spreadsheet </w:t>
            </w:r>
            <w:r>
              <w:rPr>
                <w:rFonts w:ascii="CG Omega" w:hAnsi="CG Omega"/>
                <w:sz w:val="24"/>
                <w:szCs w:val="24"/>
              </w:rPr>
              <w:t>named</w:t>
            </w:r>
            <w:r w:rsidRPr="00AC5E57">
              <w:rPr>
                <w:rFonts w:ascii="CG Omega" w:hAnsi="CG Omega"/>
                <w:sz w:val="24"/>
                <w:szCs w:val="24"/>
              </w:rPr>
              <w:t xml:space="preserve"> GLReportsCust.xlsx is required in the G</w:t>
            </w:r>
            <w:r w:rsidR="00176251">
              <w:rPr>
                <w:rFonts w:ascii="CG Omega" w:hAnsi="CG Omega"/>
                <w:sz w:val="24"/>
                <w:szCs w:val="24"/>
              </w:rPr>
              <w:t>SM ‘</w:t>
            </w:r>
            <w:r w:rsidRPr="00AC5E57">
              <w:rPr>
                <w:rFonts w:ascii="CG Omega" w:hAnsi="CG Omega"/>
                <w:sz w:val="24"/>
                <w:szCs w:val="24"/>
              </w:rPr>
              <w:t>Customisations</w:t>
            </w:r>
            <w:r w:rsidR="00176251">
              <w:rPr>
                <w:rFonts w:ascii="CG Omega" w:hAnsi="CG Omega"/>
                <w:sz w:val="24"/>
                <w:szCs w:val="24"/>
              </w:rPr>
              <w:t>’</w:t>
            </w:r>
            <w:r w:rsidRPr="00AC5E57">
              <w:rPr>
                <w:rFonts w:ascii="CG Omega" w:hAnsi="CG Omega"/>
                <w:sz w:val="24"/>
                <w:szCs w:val="24"/>
              </w:rPr>
              <w:t xml:space="preserve"> folder on the server.</w:t>
            </w:r>
          </w:p>
          <w:p w:rsidR="00AA1975" w:rsidRDefault="00357EA9" w:rsidP="00AA1975">
            <w:pPr>
              <w:pStyle w:val="BodyText"/>
              <w:numPr>
                <w:ilvl w:val="0"/>
                <w:numId w:val="18"/>
              </w:numPr>
              <w:rPr>
                <w:rFonts w:ascii="CG Omega" w:hAnsi="CG Omega"/>
                <w:sz w:val="24"/>
                <w:szCs w:val="24"/>
              </w:rPr>
            </w:pPr>
            <w:r w:rsidRPr="00AC5E57">
              <w:rPr>
                <w:rFonts w:ascii="CG Omega" w:hAnsi="CG Omega"/>
                <w:sz w:val="24"/>
                <w:szCs w:val="24"/>
              </w:rPr>
              <w:t xml:space="preserve">A pre-supplied </w:t>
            </w:r>
            <w:r>
              <w:rPr>
                <w:rFonts w:ascii="CG Omega" w:hAnsi="CG Omega"/>
                <w:sz w:val="24"/>
                <w:szCs w:val="24"/>
              </w:rPr>
              <w:t>macro enabled spreadsheet nam</w:t>
            </w:r>
            <w:r w:rsidRPr="00AC5E57">
              <w:rPr>
                <w:rFonts w:ascii="CG Omega" w:hAnsi="CG Omega"/>
                <w:sz w:val="24"/>
                <w:szCs w:val="24"/>
              </w:rPr>
              <w:t xml:space="preserve">ed </w:t>
            </w:r>
            <w:r>
              <w:rPr>
                <w:rFonts w:ascii="CG Omega" w:hAnsi="CG Omega"/>
                <w:sz w:val="24"/>
                <w:szCs w:val="24"/>
              </w:rPr>
              <w:t>glr</w:t>
            </w:r>
            <w:r w:rsidRPr="00AC5E57">
              <w:rPr>
                <w:rFonts w:ascii="CG Omega" w:hAnsi="CG Omega"/>
                <w:sz w:val="24"/>
                <w:szCs w:val="24"/>
              </w:rPr>
              <w:t>eports.xls</w:t>
            </w:r>
            <w:r>
              <w:rPr>
                <w:rFonts w:ascii="CG Omega" w:hAnsi="CG Omega"/>
                <w:sz w:val="24"/>
                <w:szCs w:val="24"/>
              </w:rPr>
              <w:t>m</w:t>
            </w:r>
            <w:r w:rsidR="00176251">
              <w:rPr>
                <w:rFonts w:ascii="CG Omega" w:hAnsi="CG Omega"/>
                <w:sz w:val="24"/>
                <w:szCs w:val="24"/>
              </w:rPr>
              <w:t xml:space="preserve"> is required in the GSM ’</w:t>
            </w:r>
            <w:r w:rsidRPr="00AC5E57">
              <w:rPr>
                <w:rFonts w:ascii="CG Omega" w:hAnsi="CG Omega"/>
                <w:sz w:val="24"/>
                <w:szCs w:val="24"/>
              </w:rPr>
              <w:t>Customisations</w:t>
            </w:r>
            <w:r w:rsidR="00176251">
              <w:rPr>
                <w:rFonts w:ascii="CG Omega" w:hAnsi="CG Omega"/>
                <w:sz w:val="24"/>
                <w:szCs w:val="24"/>
              </w:rPr>
              <w:t>’</w:t>
            </w:r>
            <w:r w:rsidRPr="00AC5E57">
              <w:rPr>
                <w:rFonts w:ascii="CG Omega" w:hAnsi="CG Omega"/>
                <w:sz w:val="24"/>
                <w:szCs w:val="24"/>
              </w:rPr>
              <w:t xml:space="preserve"> folder on the server.</w:t>
            </w:r>
          </w:p>
          <w:p w:rsidR="00AA1975" w:rsidRPr="001C7EC1" w:rsidRDefault="00AA1975" w:rsidP="00AA1975">
            <w:pPr>
              <w:rPr>
                <w:rFonts w:ascii="CG Omega" w:hAnsi="CG Omega"/>
                <w:sz w:val="24"/>
                <w:szCs w:val="24"/>
                <w:lang w:eastAsia="en-US"/>
              </w:rPr>
            </w:pPr>
            <w:r>
              <w:rPr>
                <w:rFonts w:ascii="CG Omega" w:hAnsi="CG Omega"/>
                <w:sz w:val="24"/>
                <w:szCs w:val="24"/>
              </w:rPr>
              <w:t xml:space="preserve">These files can be downloaded from </w:t>
            </w:r>
            <w:hyperlink r:id="rId9" w:history="1">
              <w:r w:rsidRPr="000B49AE">
                <w:rPr>
                  <w:rStyle w:val="Hyperlink"/>
                  <w:rFonts w:ascii="Verdana" w:hAnsi="Verdana"/>
                  <w:sz w:val="18"/>
                  <w:szCs w:val="18"/>
                  <w:lang w:eastAsia="en-US"/>
                </w:rPr>
                <w:t>http://www.global3000.co.uk/g36/ZG60_000152_SETUP.zip</w:t>
              </w:r>
            </w:hyperlink>
            <w:r w:rsidR="001C7EC1">
              <w:rPr>
                <w:rFonts w:ascii="Verdana" w:hAnsi="Verdana"/>
                <w:color w:val="44546A"/>
                <w:sz w:val="18"/>
                <w:szCs w:val="18"/>
                <w:lang w:eastAsia="en-US"/>
              </w:rPr>
              <w:t xml:space="preserve"> </w:t>
            </w:r>
            <w:r w:rsidR="001C7EC1" w:rsidRPr="001C7EC1">
              <w:rPr>
                <w:rFonts w:ascii="CG Omega" w:hAnsi="CG Omega"/>
                <w:sz w:val="24"/>
                <w:szCs w:val="24"/>
                <w:lang w:eastAsia="en-US"/>
              </w:rPr>
              <w:t xml:space="preserve">Once downloaded place the </w:t>
            </w:r>
            <w:r w:rsidR="001C7EC1">
              <w:rPr>
                <w:rFonts w:ascii="CG Omega" w:hAnsi="CG Omega"/>
                <w:sz w:val="24"/>
                <w:szCs w:val="24"/>
                <w:lang w:eastAsia="en-US"/>
              </w:rPr>
              <w:t xml:space="preserve">two </w:t>
            </w:r>
            <w:r w:rsidR="00176251">
              <w:rPr>
                <w:rFonts w:ascii="CG Omega" w:hAnsi="CG Omega"/>
                <w:sz w:val="24"/>
                <w:szCs w:val="24"/>
                <w:lang w:eastAsia="en-US"/>
              </w:rPr>
              <w:t>files in the GSM ‘</w:t>
            </w:r>
            <w:r w:rsidR="001C7EC1" w:rsidRPr="001C7EC1">
              <w:rPr>
                <w:rFonts w:ascii="CG Omega" w:hAnsi="CG Omega"/>
                <w:sz w:val="24"/>
                <w:szCs w:val="24"/>
                <w:lang w:eastAsia="en-US"/>
              </w:rPr>
              <w:t>Customisations</w:t>
            </w:r>
            <w:r w:rsidR="00176251">
              <w:rPr>
                <w:rFonts w:ascii="CG Omega" w:hAnsi="CG Omega"/>
                <w:sz w:val="24"/>
                <w:szCs w:val="24"/>
                <w:lang w:eastAsia="en-US"/>
              </w:rPr>
              <w:t>’</w:t>
            </w:r>
            <w:r w:rsidR="001C7EC1" w:rsidRPr="001C7EC1">
              <w:rPr>
                <w:rFonts w:ascii="CG Omega" w:hAnsi="CG Omega"/>
                <w:sz w:val="24"/>
                <w:szCs w:val="24"/>
                <w:lang w:eastAsia="en-US"/>
              </w:rPr>
              <w:t xml:space="preserve"> folder on the main server.</w:t>
            </w:r>
          </w:p>
          <w:p w:rsidR="00AA1975" w:rsidRPr="00AA1975" w:rsidRDefault="00AA1975" w:rsidP="00AA1975">
            <w:pPr>
              <w:rPr>
                <w:rFonts w:ascii="Verdana" w:hAnsi="Verdana"/>
                <w:color w:val="44546A"/>
                <w:sz w:val="18"/>
                <w:szCs w:val="18"/>
                <w:lang w:eastAsia="en-US"/>
              </w:rPr>
            </w:pPr>
          </w:p>
        </w:tc>
      </w:tr>
    </w:tbl>
    <w:p w:rsidR="00D5192E" w:rsidRDefault="00D5192E" w:rsidP="00680723">
      <w:pPr>
        <w:pStyle w:val="Heading3"/>
        <w:ind w:left="0"/>
      </w:pPr>
    </w:p>
    <w:p w:rsidR="00D5192E" w:rsidRDefault="00D5192E" w:rsidP="00D5192E">
      <w:pPr>
        <w:rPr>
          <w:rFonts w:ascii="Arial" w:hAnsi="Arial"/>
          <w:kern w:val="28"/>
          <w:sz w:val="36"/>
        </w:rPr>
      </w:pPr>
      <w:r>
        <w:br w:type="page"/>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126"/>
        <w:gridCol w:w="5358"/>
      </w:tblGrid>
      <w:tr w:rsidR="00D5192E" w:rsidTr="007B1318">
        <w:trPr>
          <w:trHeight w:val="240"/>
        </w:trPr>
        <w:tc>
          <w:tcPr>
            <w:tcW w:w="10173" w:type="dxa"/>
            <w:gridSpan w:val="3"/>
          </w:tcPr>
          <w:p w:rsidR="00D5192E" w:rsidRPr="00D5192E" w:rsidRDefault="00D5192E" w:rsidP="007B1318">
            <w:pPr>
              <w:pStyle w:val="BodyText"/>
              <w:rPr>
                <w:rFonts w:ascii="CG Omega" w:hAnsi="CG Omega"/>
                <w:b/>
                <w:sz w:val="24"/>
              </w:rPr>
            </w:pPr>
            <w:r w:rsidRPr="00D5192E">
              <w:rPr>
                <w:rFonts w:ascii="CG Omega" w:hAnsi="CG Omega"/>
                <w:b/>
                <w:sz w:val="24"/>
              </w:rPr>
              <w:lastRenderedPageBreak/>
              <w:t>Examples</w:t>
            </w:r>
          </w:p>
        </w:tc>
      </w:tr>
      <w:tr w:rsidR="00D5192E" w:rsidTr="007B1318">
        <w:trPr>
          <w:trHeight w:val="240"/>
        </w:trPr>
        <w:tc>
          <w:tcPr>
            <w:tcW w:w="10173" w:type="dxa"/>
            <w:gridSpan w:val="3"/>
          </w:tcPr>
          <w:p w:rsidR="00D5192E" w:rsidRDefault="00D5192E" w:rsidP="00360CD4">
            <w:pPr>
              <w:pStyle w:val="BodyText"/>
              <w:rPr>
                <w:rFonts w:ascii="CG Omega" w:hAnsi="CG Omega"/>
                <w:sz w:val="24"/>
              </w:rPr>
            </w:pPr>
            <w:r>
              <w:rPr>
                <w:rFonts w:ascii="CG Omega" w:hAnsi="CG Omega"/>
                <w:sz w:val="24"/>
              </w:rPr>
              <w:t xml:space="preserve">Assuming a report pack named ‘Monthly’ is created </w:t>
            </w:r>
            <w:r w:rsidR="00360CD4">
              <w:rPr>
                <w:rFonts w:ascii="CG Omega" w:hAnsi="CG Omega"/>
                <w:sz w:val="24"/>
              </w:rPr>
              <w:t>c</w:t>
            </w:r>
            <w:r>
              <w:rPr>
                <w:rFonts w:ascii="CG Omega" w:hAnsi="CG Omega"/>
                <w:sz w:val="24"/>
              </w:rPr>
              <w:t>ontaining the following standard reports</w:t>
            </w:r>
            <w:r w:rsidR="00360CD4">
              <w:rPr>
                <w:rFonts w:ascii="CG Omega" w:hAnsi="CG Omega"/>
                <w:sz w:val="24"/>
              </w:rPr>
              <w:t xml:space="preserve"> and configured to export its contents.</w:t>
            </w:r>
          </w:p>
        </w:tc>
      </w:tr>
      <w:tr w:rsidR="00D5192E" w:rsidTr="007B1318">
        <w:trPr>
          <w:trHeight w:val="240"/>
        </w:trPr>
        <w:tc>
          <w:tcPr>
            <w:tcW w:w="4815" w:type="dxa"/>
            <w:gridSpan w:val="2"/>
            <w:shd w:val="clear" w:color="auto" w:fill="D9D9D9" w:themeFill="background1" w:themeFillShade="D9"/>
          </w:tcPr>
          <w:p w:rsidR="00D5192E" w:rsidRDefault="00D5192E" w:rsidP="007B1318">
            <w:pPr>
              <w:pStyle w:val="BodyText"/>
              <w:rPr>
                <w:rFonts w:ascii="CG Omega" w:hAnsi="CG Omega"/>
                <w:sz w:val="24"/>
              </w:rPr>
            </w:pPr>
            <w:r>
              <w:rPr>
                <w:rFonts w:ascii="CG Omega" w:hAnsi="CG Omega"/>
                <w:sz w:val="24"/>
              </w:rPr>
              <w:t>Report name</w:t>
            </w:r>
          </w:p>
        </w:tc>
        <w:tc>
          <w:tcPr>
            <w:tcW w:w="5358" w:type="dxa"/>
            <w:shd w:val="clear" w:color="auto" w:fill="D9D9D9" w:themeFill="background1" w:themeFillShade="D9"/>
          </w:tcPr>
          <w:p w:rsidR="00D5192E" w:rsidRDefault="00D5192E" w:rsidP="007B1318">
            <w:pPr>
              <w:pStyle w:val="BodyText"/>
              <w:rPr>
                <w:rFonts w:ascii="CG Omega" w:hAnsi="CG Omega"/>
                <w:sz w:val="24"/>
              </w:rPr>
            </w:pPr>
            <w:r>
              <w:rPr>
                <w:rFonts w:ascii="CG Omega" w:hAnsi="CG Omega"/>
                <w:sz w:val="24"/>
              </w:rPr>
              <w:t>Tab name</w:t>
            </w:r>
          </w:p>
        </w:tc>
      </w:tr>
      <w:tr w:rsidR="00D5192E" w:rsidTr="007B1318">
        <w:trPr>
          <w:trHeight w:val="240"/>
        </w:trPr>
        <w:tc>
          <w:tcPr>
            <w:tcW w:w="4815" w:type="dxa"/>
            <w:gridSpan w:val="2"/>
          </w:tcPr>
          <w:p w:rsidR="00D5192E" w:rsidRDefault="00D5192E" w:rsidP="007B1318">
            <w:pPr>
              <w:pStyle w:val="BodyText"/>
              <w:rPr>
                <w:rFonts w:ascii="CG Omega" w:hAnsi="CG Omega"/>
                <w:sz w:val="24"/>
              </w:rPr>
            </w:pPr>
            <w:r>
              <w:rPr>
                <w:rFonts w:ascii="CG Omega" w:hAnsi="CG Omega"/>
                <w:sz w:val="24"/>
              </w:rPr>
              <w:t>Balance Sheet 1</w:t>
            </w:r>
          </w:p>
        </w:tc>
        <w:tc>
          <w:tcPr>
            <w:tcW w:w="5358" w:type="dxa"/>
          </w:tcPr>
          <w:p w:rsidR="00D5192E" w:rsidRDefault="00D5192E" w:rsidP="007B1318">
            <w:pPr>
              <w:pStyle w:val="BodyText"/>
              <w:rPr>
                <w:rFonts w:ascii="CG Omega" w:hAnsi="CG Omega"/>
                <w:sz w:val="24"/>
              </w:rPr>
            </w:pPr>
            <w:r>
              <w:rPr>
                <w:rFonts w:ascii="CG Omega" w:hAnsi="CG Omega"/>
                <w:sz w:val="24"/>
              </w:rPr>
              <w:t>Balance Sheet</w:t>
            </w:r>
          </w:p>
        </w:tc>
      </w:tr>
      <w:tr w:rsidR="00D5192E" w:rsidTr="007B1318">
        <w:trPr>
          <w:trHeight w:val="240"/>
        </w:trPr>
        <w:tc>
          <w:tcPr>
            <w:tcW w:w="4815" w:type="dxa"/>
            <w:gridSpan w:val="2"/>
          </w:tcPr>
          <w:p w:rsidR="00D5192E" w:rsidRDefault="00D5192E" w:rsidP="007B1318">
            <w:pPr>
              <w:pStyle w:val="BodyText"/>
              <w:rPr>
                <w:rFonts w:ascii="CG Omega" w:hAnsi="CG Omega"/>
                <w:sz w:val="24"/>
              </w:rPr>
            </w:pPr>
            <w:r>
              <w:rPr>
                <w:rFonts w:ascii="CG Omega" w:hAnsi="CG Omega"/>
                <w:sz w:val="24"/>
              </w:rPr>
              <w:t>Standard Profit and Loss</w:t>
            </w:r>
          </w:p>
        </w:tc>
        <w:tc>
          <w:tcPr>
            <w:tcW w:w="5358" w:type="dxa"/>
          </w:tcPr>
          <w:p w:rsidR="00D5192E" w:rsidRDefault="00D5192E" w:rsidP="007B1318">
            <w:pPr>
              <w:pStyle w:val="BodyText"/>
              <w:rPr>
                <w:rFonts w:ascii="CG Omega" w:hAnsi="CG Omega"/>
                <w:sz w:val="24"/>
              </w:rPr>
            </w:pPr>
            <w:r>
              <w:rPr>
                <w:rFonts w:ascii="CG Omega" w:hAnsi="CG Omega"/>
                <w:sz w:val="24"/>
              </w:rPr>
              <w:t>PNL</w:t>
            </w:r>
          </w:p>
        </w:tc>
      </w:tr>
      <w:tr w:rsidR="00D5192E" w:rsidTr="007B1318">
        <w:trPr>
          <w:trHeight w:val="240"/>
        </w:trPr>
        <w:tc>
          <w:tcPr>
            <w:tcW w:w="4815" w:type="dxa"/>
            <w:gridSpan w:val="2"/>
          </w:tcPr>
          <w:p w:rsidR="00D5192E" w:rsidRDefault="00D5192E" w:rsidP="007B1318">
            <w:pPr>
              <w:pStyle w:val="BodyText"/>
              <w:rPr>
                <w:rFonts w:ascii="CG Omega" w:hAnsi="CG Omega"/>
                <w:sz w:val="24"/>
              </w:rPr>
            </w:pPr>
            <w:r>
              <w:rPr>
                <w:rFonts w:ascii="CG Omega" w:hAnsi="CG Omega"/>
                <w:sz w:val="24"/>
              </w:rPr>
              <w:t>Report 01</w:t>
            </w:r>
          </w:p>
        </w:tc>
        <w:tc>
          <w:tcPr>
            <w:tcW w:w="5358" w:type="dxa"/>
          </w:tcPr>
          <w:p w:rsidR="00D5192E" w:rsidRDefault="00D5192E" w:rsidP="007B1318">
            <w:pPr>
              <w:pStyle w:val="BodyText"/>
              <w:rPr>
                <w:rFonts w:ascii="CG Omega" w:hAnsi="CG Omega"/>
                <w:sz w:val="24"/>
              </w:rPr>
            </w:pPr>
            <w:r>
              <w:rPr>
                <w:rFonts w:ascii="CG Omega" w:hAnsi="CG Omega"/>
                <w:sz w:val="24"/>
              </w:rPr>
              <w:t>Report 1</w:t>
            </w:r>
          </w:p>
        </w:tc>
      </w:tr>
      <w:tr w:rsidR="00D5192E" w:rsidTr="007B1318">
        <w:trPr>
          <w:trHeight w:val="240"/>
        </w:trPr>
        <w:tc>
          <w:tcPr>
            <w:tcW w:w="4815" w:type="dxa"/>
            <w:gridSpan w:val="2"/>
          </w:tcPr>
          <w:p w:rsidR="00D5192E" w:rsidRDefault="00D5192E" w:rsidP="007B1318">
            <w:pPr>
              <w:pStyle w:val="BodyText"/>
              <w:rPr>
                <w:rFonts w:ascii="CG Omega" w:hAnsi="CG Omega"/>
                <w:sz w:val="24"/>
              </w:rPr>
            </w:pPr>
            <w:r>
              <w:rPr>
                <w:rFonts w:ascii="CG Omega" w:hAnsi="CG Omega"/>
                <w:sz w:val="24"/>
              </w:rPr>
              <w:t>Report 02</w:t>
            </w:r>
          </w:p>
        </w:tc>
        <w:tc>
          <w:tcPr>
            <w:tcW w:w="5358" w:type="dxa"/>
          </w:tcPr>
          <w:p w:rsidR="00D5192E" w:rsidRDefault="00D5192E" w:rsidP="007B1318">
            <w:pPr>
              <w:pStyle w:val="BodyText"/>
              <w:rPr>
                <w:rFonts w:ascii="CG Omega" w:hAnsi="CG Omega"/>
                <w:sz w:val="24"/>
              </w:rPr>
            </w:pPr>
            <w:r>
              <w:rPr>
                <w:rFonts w:ascii="CG Omega" w:hAnsi="CG Omega"/>
                <w:sz w:val="24"/>
              </w:rPr>
              <w:t>Report 2</w:t>
            </w:r>
          </w:p>
        </w:tc>
      </w:tr>
      <w:tr w:rsidR="00D5192E" w:rsidTr="007B1318">
        <w:trPr>
          <w:trHeight w:val="240"/>
        </w:trPr>
        <w:tc>
          <w:tcPr>
            <w:tcW w:w="10173" w:type="dxa"/>
            <w:gridSpan w:val="3"/>
          </w:tcPr>
          <w:p w:rsidR="003B6E0E" w:rsidRDefault="003B6E0E" w:rsidP="003B6E0E">
            <w:pPr>
              <w:pStyle w:val="BodyText"/>
              <w:rPr>
                <w:rFonts w:ascii="CG Omega" w:hAnsi="CG Omega"/>
                <w:sz w:val="24"/>
              </w:rPr>
            </w:pPr>
            <w:r>
              <w:rPr>
                <w:rFonts w:ascii="CG Omega" w:hAnsi="CG Omega"/>
                <w:sz w:val="24"/>
              </w:rPr>
              <w:t>If mana</w:t>
            </w:r>
            <w:r w:rsidR="008414F7">
              <w:rPr>
                <w:rFonts w:ascii="CG Omega" w:hAnsi="CG Omega"/>
                <w:sz w:val="24"/>
              </w:rPr>
              <w:t>gement reports are exported to E</w:t>
            </w:r>
            <w:r>
              <w:rPr>
                <w:rFonts w:ascii="CG Omega" w:hAnsi="CG Omega"/>
                <w:sz w:val="24"/>
              </w:rPr>
              <w:t>xcel formatted spreadsheets a single spreadsheet (named ‘Monthly.</w:t>
            </w:r>
            <w:r w:rsidR="00354767">
              <w:rPr>
                <w:rFonts w:ascii="CG Omega" w:hAnsi="CG Omega"/>
                <w:sz w:val="24"/>
              </w:rPr>
              <w:t>xlsx) is created in the ‘</w:t>
            </w:r>
            <w:r>
              <w:rPr>
                <w:rFonts w:ascii="CG Omega" w:hAnsi="CG Omega"/>
                <w:sz w:val="24"/>
              </w:rPr>
              <w:t>GLReports</w:t>
            </w:r>
            <w:r w:rsidR="00354767">
              <w:rPr>
                <w:rFonts w:ascii="CG Omega" w:hAnsi="CG Omega"/>
                <w:sz w:val="24"/>
              </w:rPr>
              <w:t>’ folder</w:t>
            </w:r>
            <w:r>
              <w:rPr>
                <w:rFonts w:ascii="CG Omega" w:hAnsi="CG Omega"/>
                <w:sz w:val="24"/>
              </w:rPr>
              <w:t xml:space="preserve"> within the GX folder on the users’</w:t>
            </w:r>
            <w:r w:rsidR="00354767">
              <w:rPr>
                <w:rFonts w:ascii="CG Omega" w:hAnsi="CG Omega"/>
                <w:sz w:val="24"/>
              </w:rPr>
              <w:t xml:space="preserve"> desktop. The spreadsheet will contain one tab for each of the four reports forming the report pack</w:t>
            </w:r>
            <w:r w:rsidR="00311842">
              <w:rPr>
                <w:rFonts w:ascii="CG Omega" w:hAnsi="CG Omega"/>
                <w:sz w:val="24"/>
              </w:rPr>
              <w:t xml:space="preserve"> and will be formatted based on the formatting information in the customisation spreadsheet (</w:t>
            </w:r>
            <w:r w:rsidR="00311842" w:rsidRPr="00AC5E57">
              <w:rPr>
                <w:rFonts w:ascii="CG Omega" w:hAnsi="CG Omega"/>
                <w:sz w:val="24"/>
                <w:szCs w:val="24"/>
              </w:rPr>
              <w:t>GLReportsCust.xlsx</w:t>
            </w:r>
            <w:r w:rsidR="00311842">
              <w:rPr>
                <w:rFonts w:ascii="CG Omega" w:hAnsi="CG Omega"/>
                <w:sz w:val="24"/>
                <w:szCs w:val="24"/>
              </w:rPr>
              <w:t>).</w:t>
            </w:r>
          </w:p>
        </w:tc>
      </w:tr>
      <w:tr w:rsidR="00354767" w:rsidTr="001B18DF">
        <w:trPr>
          <w:trHeight w:val="233"/>
        </w:trPr>
        <w:tc>
          <w:tcPr>
            <w:tcW w:w="10173" w:type="dxa"/>
            <w:gridSpan w:val="3"/>
          </w:tcPr>
          <w:p w:rsidR="00354767" w:rsidRDefault="00311842" w:rsidP="00311842">
            <w:pPr>
              <w:pStyle w:val="BodyText"/>
              <w:rPr>
                <w:rFonts w:ascii="CG Omega" w:hAnsi="CG Omega"/>
                <w:sz w:val="24"/>
              </w:rPr>
            </w:pPr>
            <w:r>
              <w:rPr>
                <w:rFonts w:ascii="CG Omega" w:hAnsi="CG Omega"/>
                <w:sz w:val="24"/>
              </w:rPr>
              <w:t xml:space="preserve">If management reports are </w:t>
            </w:r>
            <w:r>
              <w:rPr>
                <w:rFonts w:ascii="CG Omega" w:hAnsi="CG Omega"/>
                <w:b/>
                <w:sz w:val="24"/>
              </w:rPr>
              <w:t>not</w:t>
            </w:r>
            <w:r w:rsidR="008414F7">
              <w:rPr>
                <w:rFonts w:ascii="CG Omega" w:hAnsi="CG Omega"/>
                <w:sz w:val="24"/>
              </w:rPr>
              <w:t xml:space="preserve"> exported to E</w:t>
            </w:r>
            <w:r>
              <w:rPr>
                <w:rFonts w:ascii="CG Omega" w:hAnsi="CG Omega"/>
                <w:sz w:val="24"/>
              </w:rPr>
              <w:t xml:space="preserve">xcel formatted spreadsheets, the following four files will be generated in the folder specified by the user at runtime. </w:t>
            </w:r>
          </w:p>
        </w:tc>
      </w:tr>
      <w:tr w:rsidR="00311842" w:rsidTr="00311842">
        <w:trPr>
          <w:trHeight w:val="233"/>
        </w:trPr>
        <w:tc>
          <w:tcPr>
            <w:tcW w:w="2689" w:type="dxa"/>
          </w:tcPr>
          <w:p w:rsidR="00311842" w:rsidRPr="00311842" w:rsidRDefault="00311842" w:rsidP="00311842">
            <w:pPr>
              <w:rPr>
                <w:rFonts w:ascii="CG Omega" w:hAnsi="CG Omega" w:cstheme="minorHAnsi"/>
                <w:sz w:val="24"/>
                <w:szCs w:val="24"/>
              </w:rPr>
            </w:pPr>
            <w:r w:rsidRPr="00311842">
              <w:rPr>
                <w:rFonts w:ascii="CG Omega" w:hAnsi="CG Omega" w:cstheme="minorHAnsi"/>
                <w:sz w:val="24"/>
                <w:szCs w:val="24"/>
              </w:rPr>
              <w:t>Monthly.1.csv</w:t>
            </w:r>
          </w:p>
        </w:tc>
        <w:tc>
          <w:tcPr>
            <w:tcW w:w="7484" w:type="dxa"/>
            <w:gridSpan w:val="2"/>
          </w:tcPr>
          <w:p w:rsidR="00311842" w:rsidRPr="00311842" w:rsidRDefault="00311842" w:rsidP="00311842">
            <w:pPr>
              <w:rPr>
                <w:rFonts w:ascii="CG Omega" w:hAnsi="CG Omega" w:cstheme="minorHAnsi"/>
                <w:sz w:val="24"/>
                <w:szCs w:val="24"/>
              </w:rPr>
            </w:pPr>
            <w:r w:rsidRPr="00311842">
              <w:rPr>
                <w:rFonts w:ascii="CG Omega" w:hAnsi="CG Omega" w:cstheme="minorHAnsi"/>
                <w:sz w:val="24"/>
                <w:szCs w:val="24"/>
              </w:rPr>
              <w:t xml:space="preserve">Contains the data export for the </w:t>
            </w:r>
            <w:r>
              <w:rPr>
                <w:rFonts w:ascii="CG Omega" w:hAnsi="CG Omega" w:cstheme="minorHAnsi"/>
                <w:sz w:val="24"/>
                <w:szCs w:val="24"/>
              </w:rPr>
              <w:t>Balance Sheet 1</w:t>
            </w:r>
            <w:r w:rsidRPr="00311842">
              <w:rPr>
                <w:rFonts w:ascii="CG Omega" w:hAnsi="CG Omega" w:cstheme="minorHAnsi"/>
                <w:sz w:val="24"/>
                <w:szCs w:val="24"/>
              </w:rPr>
              <w:t xml:space="preserve"> statement.</w:t>
            </w:r>
          </w:p>
        </w:tc>
      </w:tr>
      <w:tr w:rsidR="00311842" w:rsidTr="00311842">
        <w:trPr>
          <w:trHeight w:val="233"/>
        </w:trPr>
        <w:tc>
          <w:tcPr>
            <w:tcW w:w="2689" w:type="dxa"/>
          </w:tcPr>
          <w:p w:rsidR="00311842" w:rsidRPr="00311842" w:rsidRDefault="00311842" w:rsidP="00311842">
            <w:pPr>
              <w:rPr>
                <w:rFonts w:ascii="CG Omega" w:hAnsi="CG Omega" w:cstheme="minorHAnsi"/>
                <w:sz w:val="24"/>
                <w:szCs w:val="24"/>
              </w:rPr>
            </w:pPr>
            <w:r w:rsidRPr="00311842">
              <w:rPr>
                <w:rFonts w:ascii="CG Omega" w:hAnsi="CG Omega" w:cstheme="minorHAnsi"/>
                <w:sz w:val="24"/>
                <w:szCs w:val="24"/>
              </w:rPr>
              <w:t>Monthly.2.csv</w:t>
            </w:r>
          </w:p>
        </w:tc>
        <w:tc>
          <w:tcPr>
            <w:tcW w:w="7484" w:type="dxa"/>
            <w:gridSpan w:val="2"/>
          </w:tcPr>
          <w:p w:rsidR="00311842" w:rsidRPr="00311842" w:rsidRDefault="00311842" w:rsidP="00311842">
            <w:pPr>
              <w:rPr>
                <w:rFonts w:ascii="CG Omega" w:hAnsi="CG Omega" w:cstheme="minorHAnsi"/>
                <w:sz w:val="24"/>
                <w:szCs w:val="24"/>
              </w:rPr>
            </w:pPr>
            <w:r w:rsidRPr="00311842">
              <w:rPr>
                <w:rFonts w:ascii="CG Omega" w:hAnsi="CG Omega" w:cstheme="minorHAnsi"/>
                <w:sz w:val="24"/>
                <w:szCs w:val="24"/>
              </w:rPr>
              <w:t xml:space="preserve">Contains the data export for the </w:t>
            </w:r>
            <w:r>
              <w:rPr>
                <w:rFonts w:ascii="CG Omega" w:hAnsi="CG Omega" w:cstheme="minorHAnsi"/>
                <w:sz w:val="24"/>
                <w:szCs w:val="24"/>
              </w:rPr>
              <w:t xml:space="preserve">Standard Profit and Loss </w:t>
            </w:r>
            <w:r w:rsidRPr="00311842">
              <w:rPr>
                <w:rFonts w:ascii="CG Omega" w:hAnsi="CG Omega" w:cstheme="minorHAnsi"/>
                <w:sz w:val="24"/>
                <w:szCs w:val="24"/>
              </w:rPr>
              <w:t>statement.</w:t>
            </w:r>
          </w:p>
        </w:tc>
      </w:tr>
      <w:tr w:rsidR="00311842" w:rsidTr="00311842">
        <w:trPr>
          <w:trHeight w:val="233"/>
        </w:trPr>
        <w:tc>
          <w:tcPr>
            <w:tcW w:w="2689" w:type="dxa"/>
          </w:tcPr>
          <w:p w:rsidR="00311842" w:rsidRPr="00311842" w:rsidRDefault="00311842" w:rsidP="00311842">
            <w:pPr>
              <w:rPr>
                <w:rFonts w:ascii="CG Omega" w:hAnsi="CG Omega" w:cstheme="minorHAnsi"/>
                <w:sz w:val="24"/>
                <w:szCs w:val="24"/>
              </w:rPr>
            </w:pPr>
            <w:r w:rsidRPr="00311842">
              <w:rPr>
                <w:rFonts w:ascii="CG Omega" w:hAnsi="CG Omega" w:cstheme="minorHAnsi"/>
                <w:sz w:val="24"/>
                <w:szCs w:val="24"/>
              </w:rPr>
              <w:t>Monthly.3.csv</w:t>
            </w:r>
          </w:p>
        </w:tc>
        <w:tc>
          <w:tcPr>
            <w:tcW w:w="7484" w:type="dxa"/>
            <w:gridSpan w:val="2"/>
          </w:tcPr>
          <w:p w:rsidR="00311842" w:rsidRPr="00311842" w:rsidRDefault="00311842" w:rsidP="00311842">
            <w:pPr>
              <w:rPr>
                <w:rFonts w:ascii="CG Omega" w:hAnsi="CG Omega" w:cstheme="minorHAnsi"/>
                <w:sz w:val="24"/>
                <w:szCs w:val="24"/>
              </w:rPr>
            </w:pPr>
            <w:r w:rsidRPr="00311842">
              <w:rPr>
                <w:rFonts w:ascii="CG Omega" w:hAnsi="CG Omega" w:cstheme="minorHAnsi"/>
                <w:sz w:val="24"/>
                <w:szCs w:val="24"/>
              </w:rPr>
              <w:t xml:space="preserve">Contains the data export for the </w:t>
            </w:r>
            <w:r>
              <w:rPr>
                <w:rFonts w:ascii="CG Omega" w:hAnsi="CG Omega" w:cstheme="minorHAnsi"/>
                <w:sz w:val="24"/>
                <w:szCs w:val="24"/>
              </w:rPr>
              <w:t>Report 01</w:t>
            </w:r>
            <w:r w:rsidRPr="00311842">
              <w:rPr>
                <w:rFonts w:ascii="CG Omega" w:hAnsi="CG Omega" w:cstheme="minorHAnsi"/>
                <w:sz w:val="24"/>
                <w:szCs w:val="24"/>
              </w:rPr>
              <w:t xml:space="preserve"> statement.</w:t>
            </w:r>
          </w:p>
        </w:tc>
      </w:tr>
      <w:tr w:rsidR="00311842" w:rsidTr="00311842">
        <w:trPr>
          <w:trHeight w:val="233"/>
        </w:trPr>
        <w:tc>
          <w:tcPr>
            <w:tcW w:w="2689" w:type="dxa"/>
          </w:tcPr>
          <w:p w:rsidR="00311842" w:rsidRPr="00311842" w:rsidRDefault="00311842" w:rsidP="00311842">
            <w:pPr>
              <w:rPr>
                <w:rFonts w:ascii="CG Omega" w:hAnsi="CG Omega" w:cstheme="minorHAnsi"/>
                <w:sz w:val="24"/>
                <w:szCs w:val="24"/>
              </w:rPr>
            </w:pPr>
            <w:r w:rsidRPr="00311842">
              <w:rPr>
                <w:rFonts w:ascii="CG Omega" w:hAnsi="CG Omega" w:cstheme="minorHAnsi"/>
                <w:sz w:val="24"/>
                <w:szCs w:val="24"/>
              </w:rPr>
              <w:t>Monthly.4.csv</w:t>
            </w:r>
          </w:p>
        </w:tc>
        <w:tc>
          <w:tcPr>
            <w:tcW w:w="7484" w:type="dxa"/>
            <w:gridSpan w:val="2"/>
          </w:tcPr>
          <w:p w:rsidR="00311842" w:rsidRPr="00311842" w:rsidRDefault="00311842" w:rsidP="00311842">
            <w:pPr>
              <w:rPr>
                <w:rFonts w:ascii="CG Omega" w:hAnsi="CG Omega" w:cstheme="minorHAnsi"/>
                <w:sz w:val="24"/>
                <w:szCs w:val="24"/>
              </w:rPr>
            </w:pPr>
            <w:r w:rsidRPr="00311842">
              <w:rPr>
                <w:rFonts w:ascii="CG Omega" w:hAnsi="CG Omega" w:cstheme="minorHAnsi"/>
                <w:sz w:val="24"/>
                <w:szCs w:val="24"/>
              </w:rPr>
              <w:t xml:space="preserve">Contains the data export for the </w:t>
            </w:r>
            <w:r>
              <w:rPr>
                <w:rFonts w:ascii="CG Omega" w:hAnsi="CG Omega" w:cstheme="minorHAnsi"/>
                <w:sz w:val="24"/>
                <w:szCs w:val="24"/>
              </w:rPr>
              <w:t>Report 02</w:t>
            </w:r>
            <w:r w:rsidRPr="00311842">
              <w:rPr>
                <w:rFonts w:ascii="CG Omega" w:hAnsi="CG Omega" w:cstheme="minorHAnsi"/>
                <w:sz w:val="24"/>
                <w:szCs w:val="24"/>
              </w:rPr>
              <w:t xml:space="preserve"> statement.</w:t>
            </w:r>
          </w:p>
        </w:tc>
      </w:tr>
      <w:tr w:rsidR="00360CD4" w:rsidTr="00641302">
        <w:trPr>
          <w:trHeight w:val="233"/>
        </w:trPr>
        <w:tc>
          <w:tcPr>
            <w:tcW w:w="10173" w:type="dxa"/>
            <w:gridSpan w:val="3"/>
          </w:tcPr>
          <w:p w:rsidR="00360CD4" w:rsidRPr="00311842" w:rsidRDefault="00360CD4" w:rsidP="00360CD4">
            <w:pPr>
              <w:rPr>
                <w:rFonts w:ascii="CG Omega" w:hAnsi="CG Omega" w:cstheme="minorHAnsi"/>
                <w:sz w:val="24"/>
                <w:szCs w:val="24"/>
              </w:rPr>
            </w:pPr>
            <w:r>
              <w:rPr>
                <w:rFonts w:ascii="CG Omega" w:hAnsi="CG Omega" w:cstheme="minorHAnsi"/>
                <w:sz w:val="24"/>
                <w:szCs w:val="24"/>
              </w:rPr>
              <w:t>Note: If the report pack is configured to print rather than export its contents, the four management reports are printed in sequence.</w:t>
            </w:r>
          </w:p>
        </w:tc>
      </w:tr>
    </w:tbl>
    <w:p w:rsidR="00C71942" w:rsidRDefault="000A6149" w:rsidP="000A6149">
      <w:pPr>
        <w:pStyle w:val="Heading3"/>
        <w:ind w:left="0"/>
        <w:rPr>
          <w:noProof/>
        </w:rPr>
      </w:pPr>
      <w:r>
        <w:rPr>
          <w:noProof/>
        </w:rPr>
        <w:t xml:space="preserve">Example of Excel formatted </w:t>
      </w:r>
      <w:r w:rsidR="00C71942">
        <w:rPr>
          <w:noProof/>
        </w:rPr>
        <w:t>management report</w:t>
      </w:r>
    </w:p>
    <w:p w:rsidR="00927271" w:rsidRPr="00927271" w:rsidRDefault="00927271" w:rsidP="000A6149">
      <w:pPr>
        <w:pStyle w:val="Heading3"/>
        <w:ind w:left="0"/>
      </w:pPr>
      <w:r>
        <w:rPr>
          <w:noProof/>
        </w:rPr>
        <w:drawing>
          <wp:inline distT="0" distB="0" distL="0" distR="0" wp14:anchorId="119D007A" wp14:editId="4F27FBF2">
            <wp:extent cx="6400800" cy="3305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3305175"/>
                    </a:xfrm>
                    <a:prstGeom prst="rect">
                      <a:avLst/>
                    </a:prstGeom>
                    <a:noFill/>
                    <a:ln>
                      <a:noFill/>
                    </a:ln>
                  </pic:spPr>
                </pic:pic>
              </a:graphicData>
            </a:graphic>
          </wp:inline>
        </w:drawing>
      </w:r>
    </w:p>
    <w:p w:rsidR="00E842B7" w:rsidRPr="008E645B" w:rsidRDefault="00394941">
      <w:pPr>
        <w:rPr>
          <w:rFonts w:ascii="Arial" w:hAnsi="Arial"/>
          <w:b/>
          <w:sz w:val="22"/>
        </w:rPr>
      </w:pPr>
      <w:r>
        <w:rPr>
          <w:rFonts w:ascii="Arial" w:hAnsi="Arial"/>
          <w:b/>
          <w:sz w:val="22"/>
        </w:rPr>
        <w:br w:type="page"/>
      </w:r>
      <w:r w:rsidR="00E842B7" w:rsidRPr="008E645B">
        <w:rPr>
          <w:rFonts w:ascii="Arial" w:hAnsi="Arial"/>
          <w:b/>
          <w:sz w:val="22"/>
        </w:rPr>
        <w:lastRenderedPageBreak/>
        <w:t>DOCUMENTATION CHANGES</w:t>
      </w:r>
    </w:p>
    <w:p w:rsidR="001F682C" w:rsidRDefault="001F682C" w:rsidP="001F682C">
      <w:pPr>
        <w:rPr>
          <w:i/>
          <w:iCs/>
        </w:rPr>
      </w:pPr>
    </w:p>
    <w:p w:rsidR="00884B99" w:rsidRDefault="00B854BC" w:rsidP="00884B99">
      <w:pPr>
        <w:pStyle w:val="Heading3"/>
        <w:ind w:left="0"/>
      </w:pPr>
      <w:r>
        <w:t>GL System Parameters</w:t>
      </w:r>
      <w:r w:rsidR="00884B99">
        <w:t xml:space="preserve"> – </w:t>
      </w:r>
      <w:r>
        <w:t xml:space="preserve">Excel Formatted Statements </w:t>
      </w:r>
      <w:r w:rsidR="00884B99">
        <w:t>Window</w:t>
      </w:r>
    </w:p>
    <w:p w:rsidR="00884B99" w:rsidRDefault="00006CD3" w:rsidP="00884B99">
      <w:pPr>
        <w:rPr>
          <w:i/>
          <w:iCs/>
        </w:rPr>
      </w:pPr>
      <w:r>
        <w:rPr>
          <w:noProof/>
        </w:rPr>
        <w:drawing>
          <wp:inline distT="0" distB="0" distL="0" distR="0" wp14:anchorId="311C2A1B" wp14:editId="72715832">
            <wp:extent cx="5372100" cy="3362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72100" cy="3362325"/>
                    </a:xfrm>
                    <a:prstGeom prst="rect">
                      <a:avLst/>
                    </a:prstGeom>
                  </pic:spPr>
                </pic:pic>
              </a:graphicData>
            </a:graphic>
          </wp:inline>
        </w:drawing>
      </w:r>
    </w:p>
    <w:p w:rsidR="00884B99" w:rsidRDefault="00884B99" w:rsidP="00884B99">
      <w:pPr>
        <w:rPr>
          <w:i/>
          <w:iCs/>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2" w:type="dxa"/>
          <w:right w:w="142" w:type="dxa"/>
        </w:tblCellMar>
        <w:tblLook w:val="0000" w:firstRow="0" w:lastRow="0" w:firstColumn="0" w:lastColumn="0" w:noHBand="0" w:noVBand="0"/>
      </w:tblPr>
      <w:tblGrid>
        <w:gridCol w:w="2268"/>
        <w:gridCol w:w="6946"/>
      </w:tblGrid>
      <w:tr w:rsidR="00884B99" w:rsidTr="009F16E7">
        <w:tc>
          <w:tcPr>
            <w:tcW w:w="2268" w:type="dxa"/>
          </w:tcPr>
          <w:p w:rsidR="00884B99" w:rsidRDefault="00884B99" w:rsidP="007B1318">
            <w:pPr>
              <w:pStyle w:val="Subheading"/>
            </w:pPr>
          </w:p>
        </w:tc>
        <w:tc>
          <w:tcPr>
            <w:tcW w:w="6946" w:type="dxa"/>
          </w:tcPr>
          <w:p w:rsidR="00884B99" w:rsidRDefault="009F16E7" w:rsidP="007B1318">
            <w:pPr>
              <w:pStyle w:val="BodyText"/>
            </w:pPr>
            <w:r>
              <w:t>This window appears when you select “Excel Formatted Statements” from the General Ledger Parameters Menu.</w:t>
            </w:r>
          </w:p>
        </w:tc>
      </w:tr>
      <w:tr w:rsidR="00884B99" w:rsidTr="009F16E7">
        <w:tc>
          <w:tcPr>
            <w:tcW w:w="2268" w:type="dxa"/>
          </w:tcPr>
          <w:p w:rsidR="00884B99" w:rsidRDefault="00884B99" w:rsidP="007B1318">
            <w:pPr>
              <w:pStyle w:val="Subheading"/>
            </w:pPr>
            <w:r>
              <w:t>Purpose</w:t>
            </w:r>
          </w:p>
        </w:tc>
        <w:tc>
          <w:tcPr>
            <w:tcW w:w="6946" w:type="dxa"/>
          </w:tcPr>
          <w:p w:rsidR="00884B99" w:rsidRDefault="00884B99" w:rsidP="009F16E7">
            <w:pPr>
              <w:pStyle w:val="BodyText"/>
            </w:pPr>
            <w:r>
              <w:t xml:space="preserve">This window enables you to configure the system to control how </w:t>
            </w:r>
            <w:r w:rsidR="009F16E7">
              <w:t>General Ledger management reports are exported.</w:t>
            </w:r>
            <w:r>
              <w:t xml:space="preserve"> </w:t>
            </w:r>
          </w:p>
        </w:tc>
      </w:tr>
    </w:tbl>
    <w:p w:rsidR="00884B99" w:rsidRDefault="00884B99" w:rsidP="00884B99">
      <w:pPr>
        <w:pStyle w:val="Subheading3"/>
      </w:pPr>
      <w:r>
        <w:t>The prompt is:</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884B99" w:rsidTr="009F16E7">
        <w:trPr>
          <w:cantSplit/>
        </w:trPr>
        <w:tc>
          <w:tcPr>
            <w:tcW w:w="2269" w:type="dxa"/>
            <w:tcBorders>
              <w:top w:val="single" w:sz="4" w:space="0" w:color="auto"/>
              <w:left w:val="single" w:sz="4" w:space="0" w:color="auto"/>
              <w:bottom w:val="single" w:sz="4" w:space="0" w:color="auto"/>
              <w:right w:val="single" w:sz="6" w:space="0" w:color="auto"/>
            </w:tcBorders>
          </w:tcPr>
          <w:p w:rsidR="00884B99" w:rsidRDefault="00CE4331" w:rsidP="007B1318">
            <w:pPr>
              <w:pStyle w:val="Subheading"/>
            </w:pPr>
            <w:r>
              <w:t xml:space="preserve">Export management reports to Excel formatted spreadsheet </w:t>
            </w:r>
          </w:p>
        </w:tc>
        <w:tc>
          <w:tcPr>
            <w:tcW w:w="6945" w:type="dxa"/>
            <w:tcBorders>
              <w:top w:val="single" w:sz="4" w:space="0" w:color="auto"/>
              <w:left w:val="single" w:sz="6" w:space="0" w:color="auto"/>
              <w:bottom w:val="single" w:sz="4" w:space="0" w:color="auto"/>
              <w:right w:val="single" w:sz="4" w:space="0" w:color="auto"/>
            </w:tcBorders>
          </w:tcPr>
          <w:p w:rsidR="00884B99" w:rsidRDefault="00884B99" w:rsidP="00CE4331">
            <w:pPr>
              <w:pStyle w:val="BodyText"/>
            </w:pPr>
            <w:r>
              <w:t xml:space="preserve">When this is set </w:t>
            </w:r>
            <w:r w:rsidR="00CE4331" w:rsidRPr="007E177B">
              <w:rPr>
                <w:b/>
              </w:rPr>
              <w:t>all</w:t>
            </w:r>
            <w:r w:rsidR="00CE4331">
              <w:t xml:space="preserve"> exported management reports are loaded into an Excel formatted</w:t>
            </w:r>
            <w:r w:rsidR="003855FD">
              <w:t xml:space="preserve"> spreadsheet.  The appearance of the formatted spreadsheet is determined by a customisations spreadsheet (</w:t>
            </w:r>
            <w:r w:rsidR="003855FD" w:rsidRPr="003855FD">
              <w:t>GLReportsCust.xlsx</w:t>
            </w:r>
            <w:r w:rsidR="003855FD">
              <w:t xml:space="preserve"> ) which is held on the central server and can be amended using the ‘Customisations’ button.</w:t>
            </w:r>
          </w:p>
        </w:tc>
      </w:tr>
      <w:tr w:rsidR="00884B99" w:rsidTr="006801BA">
        <w:trPr>
          <w:cantSplit/>
        </w:trPr>
        <w:tc>
          <w:tcPr>
            <w:tcW w:w="2269" w:type="dxa"/>
            <w:tcBorders>
              <w:top w:val="single" w:sz="4" w:space="0" w:color="auto"/>
              <w:left w:val="single" w:sz="4" w:space="0" w:color="auto"/>
              <w:bottom w:val="single" w:sz="4" w:space="0" w:color="auto"/>
              <w:right w:val="single" w:sz="6" w:space="0" w:color="auto"/>
            </w:tcBorders>
          </w:tcPr>
          <w:p w:rsidR="00884B99" w:rsidRPr="004E3200" w:rsidRDefault="00884B99" w:rsidP="007B1318">
            <w:pPr>
              <w:pStyle w:val="Subheading"/>
              <w:rPr>
                <w:i/>
              </w:rPr>
            </w:pPr>
            <w:r w:rsidRPr="004E3200">
              <w:rPr>
                <w:i/>
              </w:rPr>
              <w:t>Note</w:t>
            </w:r>
          </w:p>
        </w:tc>
        <w:tc>
          <w:tcPr>
            <w:tcW w:w="6945" w:type="dxa"/>
            <w:tcBorders>
              <w:top w:val="single" w:sz="4" w:space="0" w:color="auto"/>
              <w:left w:val="single" w:sz="6" w:space="0" w:color="auto"/>
              <w:bottom w:val="single" w:sz="4" w:space="0" w:color="auto"/>
              <w:right w:val="single" w:sz="4" w:space="0" w:color="auto"/>
            </w:tcBorders>
            <w:shd w:val="clear" w:color="auto" w:fill="D9D9D9" w:themeFill="background1" w:themeFillShade="D9"/>
          </w:tcPr>
          <w:p w:rsidR="00884B99" w:rsidRPr="004E3200" w:rsidRDefault="00DF0125" w:rsidP="00DF0125">
            <w:pPr>
              <w:pStyle w:val="BodyText"/>
            </w:pPr>
            <w:r>
              <w:t>When this option is set the path for exported management reports is fixed to folder ‘GLReports’ within the users’ GX folder (i.e. if the users’ GX folder is ‘C:\GX’ then all management reports are exported to ‘C:\GX\GLReports’). The system</w:t>
            </w:r>
            <w:r w:rsidR="003855FD">
              <w:t xml:space="preserve"> automatically creates this folder as required.</w:t>
            </w:r>
          </w:p>
        </w:tc>
      </w:tr>
    </w:tbl>
    <w:p w:rsidR="003855FD" w:rsidRDefault="003855FD" w:rsidP="003855FD">
      <w:pPr>
        <w:pStyle w:val="Subheading3"/>
      </w:pPr>
      <w:r>
        <w:t>The button is:</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3855FD" w:rsidTr="007B1318">
        <w:trPr>
          <w:cantSplit/>
        </w:trPr>
        <w:tc>
          <w:tcPr>
            <w:tcW w:w="2269" w:type="dxa"/>
            <w:tcBorders>
              <w:top w:val="single" w:sz="4" w:space="0" w:color="auto"/>
              <w:left w:val="single" w:sz="4" w:space="0" w:color="auto"/>
              <w:bottom w:val="single" w:sz="4" w:space="0" w:color="auto"/>
              <w:right w:val="single" w:sz="6" w:space="0" w:color="auto"/>
            </w:tcBorders>
          </w:tcPr>
          <w:p w:rsidR="003855FD" w:rsidRDefault="003855FD" w:rsidP="007B1318">
            <w:pPr>
              <w:pStyle w:val="Subheading"/>
            </w:pPr>
            <w:r>
              <w:t>Customise</w:t>
            </w:r>
          </w:p>
        </w:tc>
        <w:tc>
          <w:tcPr>
            <w:tcW w:w="6945" w:type="dxa"/>
            <w:tcBorders>
              <w:top w:val="single" w:sz="4" w:space="0" w:color="auto"/>
              <w:left w:val="single" w:sz="6" w:space="0" w:color="auto"/>
              <w:bottom w:val="single" w:sz="4" w:space="0" w:color="auto"/>
              <w:right w:val="single" w:sz="4" w:space="0" w:color="auto"/>
            </w:tcBorders>
          </w:tcPr>
          <w:p w:rsidR="003855FD" w:rsidRDefault="00421D0A" w:rsidP="007B1318">
            <w:pPr>
              <w:pStyle w:val="BodyText"/>
            </w:pPr>
            <w:r>
              <w:t>This is used to amend the customisations spreadsheet (</w:t>
            </w:r>
            <w:proofErr w:type="gramStart"/>
            <w:r w:rsidRPr="003855FD">
              <w:t>GLReportsCust.xlsx</w:t>
            </w:r>
            <w:r>
              <w:t xml:space="preserve"> )</w:t>
            </w:r>
            <w:proofErr w:type="gramEnd"/>
            <w:r>
              <w:t xml:space="preserve"> which is held on the central server and controls the appearance of the formatted Excel spreadsheets produced when management reports are exported.</w:t>
            </w:r>
          </w:p>
        </w:tc>
      </w:tr>
    </w:tbl>
    <w:p w:rsidR="0001137A" w:rsidRDefault="0001137A">
      <w:pPr>
        <w:rPr>
          <w:rFonts w:ascii="Arial" w:hAnsi="Arial"/>
          <w:b/>
          <w:sz w:val="22"/>
        </w:rPr>
      </w:pPr>
    </w:p>
    <w:p w:rsidR="00F06E51" w:rsidRDefault="00F06E51">
      <w:pPr>
        <w:rPr>
          <w:rFonts w:ascii="Arial" w:hAnsi="Arial"/>
          <w:b/>
          <w:kern w:val="28"/>
          <w:sz w:val="36"/>
        </w:rPr>
      </w:pPr>
      <w:r>
        <w:br w:type="page"/>
      </w:r>
    </w:p>
    <w:p w:rsidR="007D2D51" w:rsidRDefault="007D2D51" w:rsidP="007D2D51">
      <w:pPr>
        <w:pStyle w:val="Heading3"/>
        <w:ind w:left="0"/>
      </w:pPr>
      <w:r>
        <w:lastRenderedPageBreak/>
        <w:t>Report Pack Maintenance Window</w:t>
      </w:r>
    </w:p>
    <w:p w:rsidR="007D2D51" w:rsidRDefault="00007A72" w:rsidP="007D2D51">
      <w:pPr>
        <w:rPr>
          <w:i/>
          <w:iCs/>
        </w:rPr>
      </w:pPr>
      <w:r>
        <w:rPr>
          <w:i/>
          <w:iCs/>
        </w:rPr>
        <w:t xml:space="preserve"> </w:t>
      </w:r>
      <w:r>
        <w:rPr>
          <w:noProof/>
        </w:rPr>
        <w:drawing>
          <wp:inline distT="0" distB="0" distL="0" distR="0" wp14:anchorId="1973BEA0" wp14:editId="0DAF09B2">
            <wp:extent cx="5838825" cy="30765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38825" cy="3076575"/>
                    </a:xfrm>
                    <a:prstGeom prst="rect">
                      <a:avLst/>
                    </a:prstGeom>
                  </pic:spPr>
                </pic:pic>
              </a:graphicData>
            </a:graphic>
          </wp:inline>
        </w:drawing>
      </w:r>
    </w:p>
    <w:p w:rsidR="007D2D51" w:rsidRDefault="007D2D51" w:rsidP="007D2D51">
      <w:pPr>
        <w:rPr>
          <w:i/>
          <w:iCs/>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2" w:type="dxa"/>
          <w:right w:w="142" w:type="dxa"/>
        </w:tblCellMar>
        <w:tblLook w:val="0000" w:firstRow="0" w:lastRow="0" w:firstColumn="0" w:lastColumn="0" w:noHBand="0" w:noVBand="0"/>
      </w:tblPr>
      <w:tblGrid>
        <w:gridCol w:w="2268"/>
        <w:gridCol w:w="6946"/>
      </w:tblGrid>
      <w:tr w:rsidR="007D2D51" w:rsidTr="007B1318">
        <w:tc>
          <w:tcPr>
            <w:tcW w:w="2268" w:type="dxa"/>
          </w:tcPr>
          <w:p w:rsidR="007D2D51" w:rsidRDefault="007D2D51" w:rsidP="007B1318">
            <w:pPr>
              <w:pStyle w:val="Subheading"/>
            </w:pPr>
          </w:p>
        </w:tc>
        <w:tc>
          <w:tcPr>
            <w:tcW w:w="6946" w:type="dxa"/>
          </w:tcPr>
          <w:p w:rsidR="007D2D51" w:rsidRDefault="007D2D51" w:rsidP="007D2D51">
            <w:pPr>
              <w:pStyle w:val="BodyText"/>
            </w:pPr>
            <w:r>
              <w:t>This window appears when you select Amend Report Packs from the General Ledger Statement Definitions Menu.</w:t>
            </w:r>
          </w:p>
        </w:tc>
      </w:tr>
      <w:tr w:rsidR="007D2D51" w:rsidTr="007B1318">
        <w:tc>
          <w:tcPr>
            <w:tcW w:w="2268" w:type="dxa"/>
          </w:tcPr>
          <w:p w:rsidR="007D2D51" w:rsidRDefault="007D2D51" w:rsidP="007B1318">
            <w:pPr>
              <w:pStyle w:val="Subheading"/>
            </w:pPr>
            <w:r>
              <w:t>Purpose</w:t>
            </w:r>
          </w:p>
        </w:tc>
        <w:tc>
          <w:tcPr>
            <w:tcW w:w="6946" w:type="dxa"/>
          </w:tcPr>
          <w:p w:rsidR="007D2D51" w:rsidRDefault="00DF14DA" w:rsidP="006801BA">
            <w:pPr>
              <w:pStyle w:val="BodyText"/>
            </w:pPr>
            <w:r>
              <w:t>This window lists existing report packs</w:t>
            </w:r>
            <w:r w:rsidR="006801BA">
              <w:t>. It</w:t>
            </w:r>
            <w:r>
              <w:t xml:space="preserve"> enables you to add new report packs, and to amend and delete existing </w:t>
            </w:r>
            <w:r w:rsidR="007834C4">
              <w:t>ones</w:t>
            </w:r>
            <w:r>
              <w:t>.</w:t>
            </w:r>
            <w:r w:rsidR="007834C4">
              <w:t xml:space="preserve">  A report pack is a collection of pre-defined management reports that are produced as a group and in sequence.</w:t>
            </w:r>
          </w:p>
        </w:tc>
      </w:tr>
    </w:tbl>
    <w:p w:rsidR="007D2D51" w:rsidRDefault="007D2D51" w:rsidP="007D2D51">
      <w:pPr>
        <w:pStyle w:val="Subheading3"/>
      </w:pPr>
      <w:r>
        <w:t>The prompt</w:t>
      </w:r>
      <w:r w:rsidR="00561AD8">
        <w:t>s are</w:t>
      </w:r>
      <w:r>
        <w:t>:</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DF14DA" w:rsidTr="007B1318">
        <w:trPr>
          <w:cantSplit/>
        </w:trPr>
        <w:tc>
          <w:tcPr>
            <w:tcW w:w="2269" w:type="dxa"/>
            <w:tcBorders>
              <w:top w:val="single" w:sz="4" w:space="0" w:color="auto"/>
              <w:left w:val="single" w:sz="4" w:space="0" w:color="auto"/>
              <w:bottom w:val="single" w:sz="4" w:space="0" w:color="auto"/>
              <w:right w:val="single" w:sz="6" w:space="0" w:color="auto"/>
            </w:tcBorders>
          </w:tcPr>
          <w:p w:rsidR="00DF14DA" w:rsidRDefault="00DF14DA" w:rsidP="00DF14DA">
            <w:pPr>
              <w:pStyle w:val="Subheading"/>
            </w:pPr>
            <w:r>
              <w:t>Report Pack</w:t>
            </w:r>
          </w:p>
        </w:tc>
        <w:tc>
          <w:tcPr>
            <w:tcW w:w="6945" w:type="dxa"/>
            <w:tcBorders>
              <w:top w:val="single" w:sz="4" w:space="0" w:color="auto"/>
              <w:left w:val="single" w:sz="6" w:space="0" w:color="auto"/>
              <w:bottom w:val="single" w:sz="4" w:space="0" w:color="auto"/>
              <w:right w:val="single" w:sz="4" w:space="0" w:color="auto"/>
            </w:tcBorders>
          </w:tcPr>
          <w:p w:rsidR="00DF14DA" w:rsidRDefault="00DF14DA" w:rsidP="00DF14DA">
            <w:pPr>
              <w:pStyle w:val="BodyText"/>
            </w:pPr>
            <w:r>
              <w:t>Enter the name of the report pack which must be unique. If you are exporting your reports, this will also form part of the exported filename.</w:t>
            </w:r>
          </w:p>
        </w:tc>
      </w:tr>
      <w:tr w:rsidR="00DF14DA" w:rsidTr="007B1318">
        <w:trPr>
          <w:cantSplit/>
        </w:trPr>
        <w:tc>
          <w:tcPr>
            <w:tcW w:w="2269" w:type="dxa"/>
            <w:tcBorders>
              <w:top w:val="single" w:sz="4" w:space="0" w:color="auto"/>
              <w:left w:val="single" w:sz="4" w:space="0" w:color="auto"/>
              <w:bottom w:val="single" w:sz="4" w:space="0" w:color="auto"/>
              <w:right w:val="single" w:sz="6" w:space="0" w:color="auto"/>
            </w:tcBorders>
          </w:tcPr>
          <w:p w:rsidR="00DF14DA" w:rsidRDefault="00DF14DA" w:rsidP="00DF14DA">
            <w:pPr>
              <w:pStyle w:val="Subheading"/>
            </w:pPr>
            <w:r>
              <w:t>Description</w:t>
            </w:r>
          </w:p>
        </w:tc>
        <w:tc>
          <w:tcPr>
            <w:tcW w:w="6945" w:type="dxa"/>
            <w:tcBorders>
              <w:top w:val="single" w:sz="4" w:space="0" w:color="auto"/>
              <w:left w:val="single" w:sz="6" w:space="0" w:color="auto"/>
              <w:bottom w:val="single" w:sz="4" w:space="0" w:color="auto"/>
              <w:right w:val="single" w:sz="4" w:space="0" w:color="auto"/>
            </w:tcBorders>
          </w:tcPr>
          <w:p w:rsidR="00DF14DA" w:rsidRDefault="00DF14DA" w:rsidP="00DF14DA">
            <w:pPr>
              <w:pStyle w:val="BodyText"/>
            </w:pPr>
            <w:r>
              <w:t>Enter a title for the report pack.</w:t>
            </w:r>
          </w:p>
        </w:tc>
      </w:tr>
      <w:tr w:rsidR="00DF14DA" w:rsidTr="007B1318">
        <w:trPr>
          <w:cantSplit/>
        </w:trPr>
        <w:tc>
          <w:tcPr>
            <w:tcW w:w="2269" w:type="dxa"/>
            <w:tcBorders>
              <w:top w:val="single" w:sz="4" w:space="0" w:color="auto"/>
              <w:left w:val="single" w:sz="4" w:space="0" w:color="auto"/>
              <w:bottom w:val="single" w:sz="4" w:space="0" w:color="auto"/>
              <w:right w:val="single" w:sz="6" w:space="0" w:color="auto"/>
            </w:tcBorders>
          </w:tcPr>
          <w:p w:rsidR="00DF14DA" w:rsidRDefault="00DF14DA" w:rsidP="00DF14DA">
            <w:pPr>
              <w:pStyle w:val="Subheading"/>
            </w:pPr>
            <w:r>
              <w:t>Export</w:t>
            </w:r>
          </w:p>
        </w:tc>
        <w:tc>
          <w:tcPr>
            <w:tcW w:w="6945" w:type="dxa"/>
            <w:tcBorders>
              <w:top w:val="single" w:sz="4" w:space="0" w:color="auto"/>
              <w:left w:val="single" w:sz="6" w:space="0" w:color="auto"/>
              <w:bottom w:val="single" w:sz="4" w:space="0" w:color="auto"/>
              <w:right w:val="single" w:sz="4" w:space="0" w:color="auto"/>
            </w:tcBorders>
          </w:tcPr>
          <w:p w:rsidR="00DF14DA" w:rsidRDefault="002E5906" w:rsidP="002E5906">
            <w:pPr>
              <w:pStyle w:val="BodyText"/>
            </w:pPr>
            <w:r>
              <w:t>When set all</w:t>
            </w:r>
            <w:r w:rsidR="00DF14DA">
              <w:t xml:space="preserve"> reports in the report pack are exported to csv files.  If the system is configured to export management reports to Excel formatted</w:t>
            </w:r>
            <w:r w:rsidR="008414F7">
              <w:t xml:space="preserve"> spreadsheets, a macro enabled E</w:t>
            </w:r>
            <w:r w:rsidR="00DF14DA">
              <w:t>xcel spreadsheet is invoked to import each file into a separate tab within a single spreadsheet.</w:t>
            </w:r>
          </w:p>
        </w:tc>
      </w:tr>
      <w:tr w:rsidR="002E5906" w:rsidTr="007B1318">
        <w:trPr>
          <w:cantSplit/>
        </w:trPr>
        <w:tc>
          <w:tcPr>
            <w:tcW w:w="2269" w:type="dxa"/>
            <w:tcBorders>
              <w:top w:val="single" w:sz="4" w:space="0" w:color="auto"/>
              <w:left w:val="single" w:sz="4" w:space="0" w:color="auto"/>
              <w:bottom w:val="single" w:sz="4" w:space="0" w:color="auto"/>
              <w:right w:val="single" w:sz="6" w:space="0" w:color="auto"/>
            </w:tcBorders>
          </w:tcPr>
          <w:p w:rsidR="002E5906" w:rsidRDefault="001F5E4C" w:rsidP="00DF14DA">
            <w:pPr>
              <w:pStyle w:val="Subheading"/>
            </w:pPr>
            <w:r>
              <w:t>Reports</w:t>
            </w:r>
          </w:p>
        </w:tc>
        <w:tc>
          <w:tcPr>
            <w:tcW w:w="6945" w:type="dxa"/>
            <w:tcBorders>
              <w:top w:val="single" w:sz="4" w:space="0" w:color="auto"/>
              <w:left w:val="single" w:sz="6" w:space="0" w:color="auto"/>
              <w:bottom w:val="single" w:sz="4" w:space="0" w:color="auto"/>
              <w:right w:val="single" w:sz="4" w:space="0" w:color="auto"/>
            </w:tcBorders>
          </w:tcPr>
          <w:p w:rsidR="002E5906" w:rsidRDefault="001F5E4C" w:rsidP="002E5906">
            <w:pPr>
              <w:pStyle w:val="BodyText"/>
            </w:pPr>
            <w:r w:rsidRPr="001F5E4C">
              <w:rPr>
                <w:i/>
              </w:rPr>
              <w:t>(Display only)</w:t>
            </w:r>
            <w:r>
              <w:t xml:space="preserve"> This is the number of reports forming the report pack.</w:t>
            </w:r>
          </w:p>
        </w:tc>
      </w:tr>
      <w:tr w:rsidR="001F5E4C" w:rsidTr="007B1318">
        <w:trPr>
          <w:cantSplit/>
        </w:trPr>
        <w:tc>
          <w:tcPr>
            <w:tcW w:w="2269" w:type="dxa"/>
            <w:tcBorders>
              <w:top w:val="single" w:sz="4" w:space="0" w:color="auto"/>
              <w:left w:val="single" w:sz="4" w:space="0" w:color="auto"/>
              <w:bottom w:val="single" w:sz="4" w:space="0" w:color="auto"/>
              <w:right w:val="single" w:sz="6" w:space="0" w:color="auto"/>
            </w:tcBorders>
          </w:tcPr>
          <w:p w:rsidR="001F5E4C" w:rsidRDefault="001F5E4C" w:rsidP="00DF14DA">
            <w:pPr>
              <w:pStyle w:val="Subheading"/>
            </w:pPr>
            <w:r>
              <w:t>Valid</w:t>
            </w:r>
          </w:p>
        </w:tc>
        <w:tc>
          <w:tcPr>
            <w:tcW w:w="6945" w:type="dxa"/>
            <w:tcBorders>
              <w:top w:val="single" w:sz="4" w:space="0" w:color="auto"/>
              <w:left w:val="single" w:sz="6" w:space="0" w:color="auto"/>
              <w:bottom w:val="single" w:sz="4" w:space="0" w:color="auto"/>
              <w:right w:val="single" w:sz="4" w:space="0" w:color="auto"/>
            </w:tcBorders>
          </w:tcPr>
          <w:p w:rsidR="001F5E4C" w:rsidRPr="001F5E4C" w:rsidRDefault="001F5E4C" w:rsidP="002E5906">
            <w:pPr>
              <w:pStyle w:val="BodyText"/>
            </w:pPr>
            <w:r>
              <w:rPr>
                <w:i/>
              </w:rPr>
              <w:t xml:space="preserve">(Display only) </w:t>
            </w:r>
            <w:r>
              <w:t xml:space="preserve">This indicates whether or not the report pack is valid, report packs that are not valid cannot be selected within management reporting.  A report pack may be invalid if for example one of the reports within it has been deleted or marked as inactive. </w:t>
            </w:r>
          </w:p>
        </w:tc>
      </w:tr>
    </w:tbl>
    <w:p w:rsidR="007D2D51" w:rsidRDefault="007D2D51" w:rsidP="007D2D51">
      <w:pPr>
        <w:pStyle w:val="Subheading3"/>
      </w:pPr>
      <w:r>
        <w:t>The button is:</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7D2D51" w:rsidTr="007B1318">
        <w:trPr>
          <w:cantSplit/>
        </w:trPr>
        <w:tc>
          <w:tcPr>
            <w:tcW w:w="2269" w:type="dxa"/>
            <w:tcBorders>
              <w:top w:val="single" w:sz="4" w:space="0" w:color="auto"/>
              <w:left w:val="single" w:sz="4" w:space="0" w:color="auto"/>
              <w:bottom w:val="single" w:sz="4" w:space="0" w:color="auto"/>
              <w:right w:val="single" w:sz="6" w:space="0" w:color="auto"/>
            </w:tcBorders>
          </w:tcPr>
          <w:p w:rsidR="007D2D51" w:rsidRDefault="00561AD8" w:rsidP="007B1318">
            <w:pPr>
              <w:pStyle w:val="Subheading"/>
            </w:pPr>
            <w:r>
              <w:t>Reports</w:t>
            </w:r>
          </w:p>
        </w:tc>
        <w:tc>
          <w:tcPr>
            <w:tcW w:w="6945" w:type="dxa"/>
            <w:tcBorders>
              <w:top w:val="single" w:sz="4" w:space="0" w:color="auto"/>
              <w:left w:val="single" w:sz="6" w:space="0" w:color="auto"/>
              <w:bottom w:val="single" w:sz="4" w:space="0" w:color="auto"/>
              <w:right w:val="single" w:sz="4" w:space="0" w:color="auto"/>
            </w:tcBorders>
          </w:tcPr>
          <w:p w:rsidR="007D2D51" w:rsidRDefault="007D2D51" w:rsidP="00561AD8">
            <w:pPr>
              <w:pStyle w:val="BodyText"/>
            </w:pPr>
            <w:r>
              <w:t xml:space="preserve">This is used to amend the </w:t>
            </w:r>
            <w:r w:rsidR="00561AD8">
              <w:t>list of reports belonging to the report pack.</w:t>
            </w:r>
          </w:p>
        </w:tc>
      </w:tr>
    </w:tbl>
    <w:p w:rsidR="007D2D51" w:rsidRDefault="007D2D51" w:rsidP="007D2D51">
      <w:pPr>
        <w:rPr>
          <w:rFonts w:ascii="Arial" w:hAnsi="Arial"/>
          <w:b/>
          <w:sz w:val="22"/>
        </w:rPr>
      </w:pPr>
    </w:p>
    <w:p w:rsidR="007D2D51" w:rsidRDefault="007D2D51">
      <w:pPr>
        <w:rPr>
          <w:rFonts w:ascii="Arial" w:hAnsi="Arial"/>
          <w:b/>
          <w:sz w:val="22"/>
        </w:rPr>
      </w:pPr>
    </w:p>
    <w:p w:rsidR="00F06E51" w:rsidRDefault="00F06E51">
      <w:pPr>
        <w:rPr>
          <w:rFonts w:ascii="Arial" w:hAnsi="Arial"/>
          <w:b/>
          <w:kern w:val="28"/>
          <w:sz w:val="36"/>
        </w:rPr>
      </w:pPr>
      <w:r>
        <w:br w:type="page"/>
      </w:r>
    </w:p>
    <w:p w:rsidR="00561AD8" w:rsidRDefault="00561AD8" w:rsidP="00561AD8">
      <w:pPr>
        <w:pStyle w:val="Heading3"/>
        <w:ind w:left="0"/>
      </w:pPr>
      <w:r>
        <w:lastRenderedPageBreak/>
        <w:t xml:space="preserve">Report Pack </w:t>
      </w:r>
      <w:r w:rsidR="00F06E51">
        <w:t>Members</w:t>
      </w:r>
      <w:r>
        <w:t xml:space="preserve"> Window</w:t>
      </w:r>
    </w:p>
    <w:p w:rsidR="00561AD8" w:rsidRDefault="00007A72" w:rsidP="00561AD8">
      <w:pPr>
        <w:rPr>
          <w:i/>
          <w:iCs/>
        </w:rPr>
      </w:pPr>
      <w:r>
        <w:rPr>
          <w:noProof/>
        </w:rPr>
        <w:drawing>
          <wp:inline distT="0" distB="0" distL="0" distR="0" wp14:anchorId="2B9CA3F1" wp14:editId="40F32BAE">
            <wp:extent cx="4752975" cy="48768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52975" cy="4876800"/>
                    </a:xfrm>
                    <a:prstGeom prst="rect">
                      <a:avLst/>
                    </a:prstGeom>
                  </pic:spPr>
                </pic:pic>
              </a:graphicData>
            </a:graphic>
          </wp:inline>
        </w:drawing>
      </w:r>
    </w:p>
    <w:p w:rsidR="008D1AA2" w:rsidRDefault="008D1AA2" w:rsidP="00561AD8">
      <w:pPr>
        <w:rPr>
          <w:i/>
          <w:iCs/>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2" w:type="dxa"/>
          <w:right w:w="142" w:type="dxa"/>
        </w:tblCellMar>
        <w:tblLook w:val="0000" w:firstRow="0" w:lastRow="0" w:firstColumn="0" w:lastColumn="0" w:noHBand="0" w:noVBand="0"/>
      </w:tblPr>
      <w:tblGrid>
        <w:gridCol w:w="2268"/>
        <w:gridCol w:w="6946"/>
      </w:tblGrid>
      <w:tr w:rsidR="00561AD8" w:rsidTr="007B1318">
        <w:tc>
          <w:tcPr>
            <w:tcW w:w="2268" w:type="dxa"/>
          </w:tcPr>
          <w:p w:rsidR="00561AD8" w:rsidRDefault="00561AD8" w:rsidP="007B1318">
            <w:pPr>
              <w:pStyle w:val="Subheading"/>
            </w:pPr>
          </w:p>
        </w:tc>
        <w:tc>
          <w:tcPr>
            <w:tcW w:w="6946" w:type="dxa"/>
          </w:tcPr>
          <w:p w:rsidR="00561AD8" w:rsidRDefault="00561AD8" w:rsidP="006801BA">
            <w:pPr>
              <w:pStyle w:val="BodyText"/>
            </w:pPr>
            <w:r>
              <w:t xml:space="preserve">This window appears when you </w:t>
            </w:r>
            <w:r w:rsidR="006801BA">
              <w:t xml:space="preserve">create a new report pack or press the ‘Reports’ button in the Report Packs Maintenance window. </w:t>
            </w:r>
            <w:r>
              <w:t xml:space="preserve"> </w:t>
            </w:r>
          </w:p>
        </w:tc>
      </w:tr>
      <w:tr w:rsidR="006801BA" w:rsidTr="007B1318">
        <w:tc>
          <w:tcPr>
            <w:tcW w:w="2268" w:type="dxa"/>
          </w:tcPr>
          <w:p w:rsidR="006801BA" w:rsidRDefault="006801BA" w:rsidP="006801BA">
            <w:pPr>
              <w:pStyle w:val="Subheading"/>
            </w:pPr>
            <w:r>
              <w:t>Purpose</w:t>
            </w:r>
          </w:p>
        </w:tc>
        <w:tc>
          <w:tcPr>
            <w:tcW w:w="6946" w:type="dxa"/>
          </w:tcPr>
          <w:p w:rsidR="006801BA" w:rsidRDefault="006801BA" w:rsidP="006801BA">
            <w:pPr>
              <w:pStyle w:val="BodyText"/>
            </w:pPr>
            <w:r>
              <w:t>This window allows you to define the list of the reports that are to be included in the current report pack, and the sequence in which they are to be produced.</w:t>
            </w:r>
          </w:p>
        </w:tc>
      </w:tr>
      <w:tr w:rsidR="006801BA" w:rsidTr="006801BA">
        <w:tc>
          <w:tcPr>
            <w:tcW w:w="2268" w:type="dxa"/>
          </w:tcPr>
          <w:p w:rsidR="006801BA" w:rsidRPr="006801BA" w:rsidRDefault="006801BA" w:rsidP="006801BA">
            <w:pPr>
              <w:pStyle w:val="Subheading"/>
              <w:rPr>
                <w:i/>
              </w:rPr>
            </w:pPr>
            <w:r w:rsidRPr="006801BA">
              <w:rPr>
                <w:i/>
              </w:rPr>
              <w:t>Note</w:t>
            </w:r>
          </w:p>
        </w:tc>
        <w:tc>
          <w:tcPr>
            <w:tcW w:w="6946" w:type="dxa"/>
            <w:shd w:val="clear" w:color="auto" w:fill="D9D9D9" w:themeFill="background1" w:themeFillShade="D9"/>
          </w:tcPr>
          <w:p w:rsidR="006801BA" w:rsidRDefault="006801BA" w:rsidP="008D1AA2">
            <w:pPr>
              <w:pStyle w:val="BodyText"/>
            </w:pPr>
            <w:r>
              <w:t xml:space="preserve">The </w:t>
            </w:r>
            <w:r w:rsidR="008D1AA2">
              <w:t xml:space="preserve">reports are processed in the </w:t>
            </w:r>
            <w:r>
              <w:t xml:space="preserve">sequence in which </w:t>
            </w:r>
            <w:r w:rsidR="008D1AA2">
              <w:t>they are</w:t>
            </w:r>
            <w:r>
              <w:t xml:space="preserve"> listed</w:t>
            </w:r>
            <w:r w:rsidR="008D1AA2">
              <w:t>.</w:t>
            </w:r>
          </w:p>
        </w:tc>
      </w:tr>
    </w:tbl>
    <w:p w:rsidR="00561AD8" w:rsidRDefault="00561AD8" w:rsidP="00561AD8">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561AD8" w:rsidTr="007B1318">
        <w:trPr>
          <w:cantSplit/>
        </w:trPr>
        <w:tc>
          <w:tcPr>
            <w:tcW w:w="2269" w:type="dxa"/>
            <w:tcBorders>
              <w:top w:val="single" w:sz="4" w:space="0" w:color="auto"/>
              <w:left w:val="single" w:sz="4" w:space="0" w:color="auto"/>
              <w:bottom w:val="single" w:sz="4" w:space="0" w:color="auto"/>
              <w:right w:val="single" w:sz="6" w:space="0" w:color="auto"/>
            </w:tcBorders>
          </w:tcPr>
          <w:p w:rsidR="00561AD8" w:rsidRDefault="0046126C" w:rsidP="007B1318">
            <w:pPr>
              <w:pStyle w:val="Subheading"/>
            </w:pPr>
            <w:r>
              <w:t>Description</w:t>
            </w:r>
          </w:p>
        </w:tc>
        <w:tc>
          <w:tcPr>
            <w:tcW w:w="6945" w:type="dxa"/>
            <w:tcBorders>
              <w:top w:val="single" w:sz="4" w:space="0" w:color="auto"/>
              <w:left w:val="single" w:sz="6" w:space="0" w:color="auto"/>
              <w:bottom w:val="single" w:sz="4" w:space="0" w:color="auto"/>
              <w:right w:val="single" w:sz="4" w:space="0" w:color="auto"/>
            </w:tcBorders>
          </w:tcPr>
          <w:p w:rsidR="00561AD8" w:rsidRDefault="00561AD8" w:rsidP="0046126C">
            <w:pPr>
              <w:pStyle w:val="BodyText"/>
            </w:pPr>
            <w:r>
              <w:t xml:space="preserve">Enter the name of the </w:t>
            </w:r>
            <w:r w:rsidR="0046126C">
              <w:t>management report. A search is available.</w:t>
            </w:r>
          </w:p>
        </w:tc>
      </w:tr>
      <w:tr w:rsidR="0046126C" w:rsidTr="007B1318">
        <w:trPr>
          <w:cantSplit/>
        </w:trPr>
        <w:tc>
          <w:tcPr>
            <w:tcW w:w="2269" w:type="dxa"/>
            <w:tcBorders>
              <w:top w:val="single" w:sz="4" w:space="0" w:color="auto"/>
              <w:left w:val="single" w:sz="4" w:space="0" w:color="auto"/>
              <w:bottom w:val="single" w:sz="4" w:space="0" w:color="auto"/>
              <w:right w:val="single" w:sz="6" w:space="0" w:color="auto"/>
            </w:tcBorders>
          </w:tcPr>
          <w:p w:rsidR="0046126C" w:rsidRDefault="0046126C" w:rsidP="0046126C">
            <w:pPr>
              <w:pStyle w:val="Subheading"/>
            </w:pPr>
            <w:r>
              <w:t>Tab Name</w:t>
            </w:r>
          </w:p>
        </w:tc>
        <w:tc>
          <w:tcPr>
            <w:tcW w:w="6945" w:type="dxa"/>
            <w:tcBorders>
              <w:top w:val="single" w:sz="4" w:space="0" w:color="auto"/>
              <w:left w:val="single" w:sz="6" w:space="0" w:color="auto"/>
              <w:bottom w:val="single" w:sz="4" w:space="0" w:color="auto"/>
              <w:right w:val="single" w:sz="4" w:space="0" w:color="auto"/>
            </w:tcBorders>
          </w:tcPr>
          <w:p w:rsidR="0046126C" w:rsidRDefault="0046126C" w:rsidP="0046126C">
            <w:pPr>
              <w:pStyle w:val="BodyText"/>
            </w:pPr>
            <w:r>
              <w:t>This is a unique identification for the report within the pack. It is used as the Tab Name if the report pack is exported to an Excel formatted spreadsheet.</w:t>
            </w:r>
          </w:p>
        </w:tc>
      </w:tr>
      <w:tr w:rsidR="0046126C" w:rsidTr="0046126C">
        <w:trPr>
          <w:cantSplit/>
        </w:trPr>
        <w:tc>
          <w:tcPr>
            <w:tcW w:w="2269" w:type="dxa"/>
            <w:tcBorders>
              <w:top w:val="single" w:sz="4" w:space="0" w:color="auto"/>
              <w:left w:val="single" w:sz="4" w:space="0" w:color="auto"/>
              <w:bottom w:val="single" w:sz="4" w:space="0" w:color="auto"/>
              <w:right w:val="single" w:sz="6" w:space="0" w:color="auto"/>
            </w:tcBorders>
          </w:tcPr>
          <w:p w:rsidR="0046126C" w:rsidRPr="0046126C" w:rsidRDefault="0046126C" w:rsidP="0046126C">
            <w:pPr>
              <w:pStyle w:val="Subheading"/>
              <w:rPr>
                <w:i/>
              </w:rPr>
            </w:pPr>
            <w:r w:rsidRPr="0046126C">
              <w:rPr>
                <w:i/>
              </w:rPr>
              <w:t>Note</w:t>
            </w:r>
          </w:p>
        </w:tc>
        <w:tc>
          <w:tcPr>
            <w:tcW w:w="6945" w:type="dxa"/>
            <w:tcBorders>
              <w:top w:val="single" w:sz="4" w:space="0" w:color="auto"/>
              <w:left w:val="single" w:sz="6" w:space="0" w:color="auto"/>
              <w:bottom w:val="single" w:sz="4" w:space="0" w:color="auto"/>
              <w:right w:val="single" w:sz="4" w:space="0" w:color="auto"/>
            </w:tcBorders>
            <w:shd w:val="clear" w:color="auto" w:fill="D9D9D9" w:themeFill="background1" w:themeFillShade="D9"/>
          </w:tcPr>
          <w:p w:rsidR="0046126C" w:rsidRDefault="0046126C" w:rsidP="0046126C">
            <w:pPr>
              <w:pStyle w:val="BodyText"/>
            </w:pPr>
            <w:r>
              <w:t>The tab name is required to uniquely identify the report within the pack even if the report pack is printed rather than exported.</w:t>
            </w:r>
          </w:p>
        </w:tc>
      </w:tr>
      <w:tr w:rsidR="0046126C" w:rsidTr="007B1318">
        <w:trPr>
          <w:cantSplit/>
        </w:trPr>
        <w:tc>
          <w:tcPr>
            <w:tcW w:w="2269" w:type="dxa"/>
            <w:tcBorders>
              <w:top w:val="single" w:sz="4" w:space="0" w:color="auto"/>
              <w:left w:val="single" w:sz="4" w:space="0" w:color="auto"/>
              <w:bottom w:val="single" w:sz="4" w:space="0" w:color="auto"/>
              <w:right w:val="single" w:sz="6" w:space="0" w:color="auto"/>
            </w:tcBorders>
          </w:tcPr>
          <w:p w:rsidR="0046126C" w:rsidRDefault="00FB5701" w:rsidP="0046126C">
            <w:pPr>
              <w:pStyle w:val="Subheading"/>
            </w:pPr>
            <w:r>
              <w:t>Active</w:t>
            </w:r>
          </w:p>
        </w:tc>
        <w:tc>
          <w:tcPr>
            <w:tcW w:w="6945" w:type="dxa"/>
            <w:tcBorders>
              <w:top w:val="single" w:sz="4" w:space="0" w:color="auto"/>
              <w:left w:val="single" w:sz="6" w:space="0" w:color="auto"/>
              <w:bottom w:val="single" w:sz="4" w:space="0" w:color="auto"/>
              <w:right w:val="single" w:sz="4" w:space="0" w:color="auto"/>
            </w:tcBorders>
          </w:tcPr>
          <w:p w:rsidR="0046126C" w:rsidRDefault="0046126C" w:rsidP="008A22E2">
            <w:pPr>
              <w:pStyle w:val="BodyText"/>
            </w:pPr>
            <w:r w:rsidRPr="001F5E4C">
              <w:rPr>
                <w:i/>
              </w:rPr>
              <w:t>(Display only)</w:t>
            </w:r>
            <w:r w:rsidR="00FB5701">
              <w:t xml:space="preserve"> This indicates whether the report is currently marked as active or inactive.</w:t>
            </w:r>
          </w:p>
        </w:tc>
      </w:tr>
    </w:tbl>
    <w:p w:rsidR="00561AD8" w:rsidRDefault="00561AD8" w:rsidP="00561AD8">
      <w:pPr>
        <w:pStyle w:val="Subheading3"/>
      </w:pPr>
      <w:r>
        <w:t>The button</w:t>
      </w:r>
      <w:r w:rsidR="008A22E2">
        <w:t>s</w:t>
      </w:r>
      <w:r>
        <w:t xml:space="preserve"> </w:t>
      </w:r>
      <w:r w:rsidR="008A22E2">
        <w:t>are</w:t>
      </w:r>
      <w:r>
        <w:t>:</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8A22E2" w:rsidTr="007B1318">
        <w:trPr>
          <w:cantSplit/>
        </w:trPr>
        <w:tc>
          <w:tcPr>
            <w:tcW w:w="2269" w:type="dxa"/>
            <w:tcBorders>
              <w:top w:val="single" w:sz="4" w:space="0" w:color="auto"/>
              <w:left w:val="single" w:sz="4" w:space="0" w:color="auto"/>
              <w:bottom w:val="single" w:sz="4" w:space="0" w:color="auto"/>
              <w:right w:val="single" w:sz="6" w:space="0" w:color="auto"/>
            </w:tcBorders>
          </w:tcPr>
          <w:p w:rsidR="008A22E2" w:rsidRDefault="008A22E2" w:rsidP="008A22E2">
            <w:pPr>
              <w:pStyle w:val="Subheading"/>
            </w:pPr>
            <w:r>
              <w:t>Move Up / Move Down</w:t>
            </w:r>
          </w:p>
        </w:tc>
        <w:tc>
          <w:tcPr>
            <w:tcW w:w="6945" w:type="dxa"/>
            <w:tcBorders>
              <w:top w:val="single" w:sz="4" w:space="0" w:color="auto"/>
              <w:left w:val="single" w:sz="6" w:space="0" w:color="auto"/>
              <w:bottom w:val="single" w:sz="4" w:space="0" w:color="auto"/>
              <w:right w:val="single" w:sz="4" w:space="0" w:color="auto"/>
            </w:tcBorders>
          </w:tcPr>
          <w:p w:rsidR="008A22E2" w:rsidRDefault="008A22E2" w:rsidP="00BC3DE7">
            <w:pPr>
              <w:pStyle w:val="BodyText"/>
            </w:pPr>
            <w:r>
              <w:t>These allow you to change the sequence of the reports by moving reports up or down the list.</w:t>
            </w:r>
          </w:p>
        </w:tc>
      </w:tr>
    </w:tbl>
    <w:p w:rsidR="00D01075" w:rsidRDefault="00D01075" w:rsidP="00D01075">
      <w:pPr>
        <w:pStyle w:val="Heading3"/>
        <w:ind w:left="0"/>
      </w:pPr>
      <w:r>
        <w:lastRenderedPageBreak/>
        <w:t>Management Reports</w:t>
      </w:r>
    </w:p>
    <w:p w:rsidR="00D01075" w:rsidRDefault="008D1AA2" w:rsidP="00D01075">
      <w:r>
        <w:rPr>
          <w:noProof/>
        </w:rPr>
        <w:drawing>
          <wp:inline distT="0" distB="0" distL="0" distR="0" wp14:anchorId="069C2FAF" wp14:editId="06A9B274">
            <wp:extent cx="6409055" cy="5276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09055" cy="5276850"/>
                    </a:xfrm>
                    <a:prstGeom prst="rect">
                      <a:avLst/>
                    </a:prstGeom>
                  </pic:spPr>
                </pic:pic>
              </a:graphicData>
            </a:graphic>
          </wp:inline>
        </w:drawing>
      </w:r>
    </w:p>
    <w:p w:rsidR="008D1AA2" w:rsidRDefault="008D1AA2" w:rsidP="00D01075"/>
    <w:tbl>
      <w:tblPr>
        <w:tblW w:w="921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2" w:type="dxa"/>
          <w:right w:w="142" w:type="dxa"/>
        </w:tblCellMar>
        <w:tblLook w:val="0000" w:firstRow="0" w:lastRow="0" w:firstColumn="0" w:lastColumn="0" w:noHBand="0" w:noVBand="0"/>
      </w:tblPr>
      <w:tblGrid>
        <w:gridCol w:w="2268"/>
        <w:gridCol w:w="6946"/>
      </w:tblGrid>
      <w:tr w:rsidR="00D01075" w:rsidRPr="00095665" w:rsidTr="00E468E8">
        <w:tc>
          <w:tcPr>
            <w:tcW w:w="2268" w:type="dxa"/>
          </w:tcPr>
          <w:p w:rsidR="00D01075" w:rsidRDefault="008D1AA2" w:rsidP="008203FA">
            <w:pPr>
              <w:pStyle w:val="Subheading"/>
            </w:pPr>
            <w:r>
              <w:t>Defined s</w:t>
            </w:r>
            <w:r w:rsidR="00D01075">
              <w:t>tatement</w:t>
            </w:r>
          </w:p>
        </w:tc>
        <w:tc>
          <w:tcPr>
            <w:tcW w:w="6946" w:type="dxa"/>
          </w:tcPr>
          <w:p w:rsidR="00E468E8" w:rsidRDefault="00D01075" w:rsidP="008D1AA2">
            <w:pPr>
              <w:pStyle w:val="BodyText"/>
            </w:pPr>
            <w:r w:rsidRPr="00D01075">
              <w:rPr>
                <w:i/>
              </w:rPr>
              <w:t xml:space="preserve">(Only if you selected “Management Reports” from the General Ledger reports menu). </w:t>
            </w:r>
            <w:r>
              <w:t>Press the search button to display a list of standard statement definitions and report packs. Selecting a report definition fills in the report options specified for that definition and then ta</w:t>
            </w:r>
            <w:r w:rsidR="008D1AA2">
              <w:t>kes you to the period s</w:t>
            </w:r>
            <w:r>
              <w:t>election prompt.</w:t>
            </w:r>
            <w:r w:rsidR="008D1AA2">
              <w:t xml:space="preserve">  </w:t>
            </w:r>
            <w:r>
              <w:t>If you leave this field blank, you are now creating a one-off report and will be prompted for a Statement line layout, Column layout and all other report options.</w:t>
            </w:r>
            <w:r w:rsidR="008D1AA2">
              <w:t xml:space="preserve"> </w:t>
            </w:r>
            <w:r w:rsidR="00E468E8">
              <w:t xml:space="preserve">If you select a report pack, the </w:t>
            </w:r>
            <w:r w:rsidR="008D1AA2">
              <w:t xml:space="preserve">report output is fixed based on the whether or not the report pack is exported. </w:t>
            </w:r>
          </w:p>
        </w:tc>
      </w:tr>
      <w:tr w:rsidR="00D01075" w:rsidRPr="00095665" w:rsidTr="00E468E8">
        <w:tc>
          <w:tcPr>
            <w:tcW w:w="2268" w:type="dxa"/>
          </w:tcPr>
          <w:p w:rsidR="00D01075" w:rsidRDefault="00E468E8" w:rsidP="008203FA">
            <w:pPr>
              <w:pStyle w:val="Subheading"/>
            </w:pPr>
            <w:r>
              <w:t>Filename</w:t>
            </w:r>
          </w:p>
        </w:tc>
        <w:tc>
          <w:tcPr>
            <w:tcW w:w="6946" w:type="dxa"/>
          </w:tcPr>
          <w:p w:rsidR="00D01075" w:rsidRDefault="00E468E8" w:rsidP="008D1AA2">
            <w:pPr>
              <w:pStyle w:val="BodyText"/>
            </w:pPr>
            <w:r>
              <w:t>If the management report</w:t>
            </w:r>
            <w:r w:rsidR="008D1AA2">
              <w:t xml:space="preserve"> or report </w:t>
            </w:r>
            <w:proofErr w:type="gramStart"/>
            <w:r w:rsidR="008D1AA2">
              <w:t xml:space="preserve">pack </w:t>
            </w:r>
            <w:r>
              <w:t xml:space="preserve"> is</w:t>
            </w:r>
            <w:proofErr w:type="gramEnd"/>
            <w:r>
              <w:t xml:space="preserve"> being exported enter the filename. </w:t>
            </w:r>
          </w:p>
        </w:tc>
      </w:tr>
      <w:tr w:rsidR="00E468E8" w:rsidRPr="00095665" w:rsidTr="0055278F">
        <w:tc>
          <w:tcPr>
            <w:tcW w:w="2268" w:type="dxa"/>
          </w:tcPr>
          <w:p w:rsidR="00E468E8" w:rsidRPr="00E468E8" w:rsidRDefault="00E468E8" w:rsidP="008203FA">
            <w:pPr>
              <w:pStyle w:val="Subheading"/>
              <w:rPr>
                <w:i/>
              </w:rPr>
            </w:pPr>
            <w:r w:rsidRPr="00E468E8">
              <w:rPr>
                <w:i/>
              </w:rPr>
              <w:t>Note</w:t>
            </w:r>
          </w:p>
        </w:tc>
        <w:tc>
          <w:tcPr>
            <w:tcW w:w="6946" w:type="dxa"/>
            <w:shd w:val="clear" w:color="auto" w:fill="D9D9D9" w:themeFill="background1" w:themeFillShade="D9"/>
          </w:tcPr>
          <w:p w:rsidR="00E468E8" w:rsidRDefault="00E468E8" w:rsidP="00E468E8">
            <w:pPr>
              <w:pStyle w:val="BodyText"/>
            </w:pPr>
            <w:r>
              <w:t xml:space="preserve">The filename is fixed when exporting report packs (to the report pack name).  The filename is limited to eight characters when reports are exported to Excel formatted spreadsheets.  </w:t>
            </w:r>
          </w:p>
        </w:tc>
      </w:tr>
      <w:tr w:rsidR="00E468E8" w:rsidRPr="00095665" w:rsidTr="00E468E8">
        <w:tc>
          <w:tcPr>
            <w:tcW w:w="2268" w:type="dxa"/>
          </w:tcPr>
          <w:p w:rsidR="00E468E8" w:rsidRDefault="00E468E8" w:rsidP="008203FA">
            <w:pPr>
              <w:pStyle w:val="Subheading"/>
            </w:pPr>
            <w:r>
              <w:t>Path</w:t>
            </w:r>
          </w:p>
        </w:tc>
        <w:tc>
          <w:tcPr>
            <w:tcW w:w="6946" w:type="dxa"/>
          </w:tcPr>
          <w:p w:rsidR="00E468E8" w:rsidRDefault="0055278F" w:rsidP="00E468E8">
            <w:pPr>
              <w:pStyle w:val="BodyText"/>
            </w:pPr>
            <w:r>
              <w:t xml:space="preserve">If the management report or report pack is being exported </w:t>
            </w:r>
            <w:r w:rsidR="003A44E6">
              <w:t>enter the path (folder) for the exported file. A browse is available if the file is being created on the users’ desktop.</w:t>
            </w:r>
          </w:p>
        </w:tc>
      </w:tr>
      <w:tr w:rsidR="00E468E8" w:rsidRPr="00095665" w:rsidTr="0055278F">
        <w:tc>
          <w:tcPr>
            <w:tcW w:w="2268" w:type="dxa"/>
          </w:tcPr>
          <w:p w:rsidR="00E468E8" w:rsidRPr="0055278F" w:rsidRDefault="0055278F" w:rsidP="008203FA">
            <w:pPr>
              <w:pStyle w:val="Subheading"/>
              <w:rPr>
                <w:i/>
              </w:rPr>
            </w:pPr>
            <w:r w:rsidRPr="0055278F">
              <w:rPr>
                <w:i/>
              </w:rPr>
              <w:t>Note</w:t>
            </w:r>
          </w:p>
        </w:tc>
        <w:tc>
          <w:tcPr>
            <w:tcW w:w="6946" w:type="dxa"/>
            <w:shd w:val="clear" w:color="auto" w:fill="D9D9D9" w:themeFill="background1" w:themeFillShade="D9"/>
          </w:tcPr>
          <w:p w:rsidR="00E468E8" w:rsidRPr="0055278F" w:rsidRDefault="0055278F" w:rsidP="0055278F">
            <w:pPr>
              <w:pStyle w:val="BodyText"/>
            </w:pPr>
            <w:r w:rsidRPr="0055278F">
              <w:t>If mana</w:t>
            </w:r>
            <w:r>
              <w:t>gement reports are exported to E</w:t>
            </w:r>
            <w:r w:rsidRPr="0055278F">
              <w:t xml:space="preserve">xcel formatted spreadsheets </w:t>
            </w:r>
            <w:r>
              <w:t>the path is fixed to</w:t>
            </w:r>
            <w:r w:rsidRPr="0055278F">
              <w:t xml:space="preserve"> the ‘GLReports’ folder within the GX folder on the users’ desktop. </w:t>
            </w:r>
            <w:r>
              <w:t>The system automatically creates this folder as required.</w:t>
            </w:r>
          </w:p>
        </w:tc>
      </w:tr>
    </w:tbl>
    <w:p w:rsidR="00561AD8" w:rsidRDefault="00561AD8">
      <w:pPr>
        <w:rPr>
          <w:rFonts w:ascii="Arial" w:hAnsi="Arial"/>
          <w:b/>
          <w:sz w:val="22"/>
        </w:rPr>
      </w:pPr>
    </w:p>
    <w:sectPr w:rsidR="00561AD8">
      <w:headerReference w:type="even" r:id="rId15"/>
      <w:headerReference w:type="default" r:id="rId16"/>
      <w:footerReference w:type="even" r:id="rId17"/>
      <w:footerReference w:type="default" r:id="rId18"/>
      <w:headerReference w:type="first" r:id="rId19"/>
      <w:footerReference w:type="first" r:id="rId20"/>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2D7" w:rsidRDefault="003862D7">
      <w:r>
        <w:separator/>
      </w:r>
    </w:p>
  </w:endnote>
  <w:endnote w:type="continuationSeparator" w:id="0">
    <w:p w:rsidR="003862D7" w:rsidRDefault="0038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EAD" w:rsidRDefault="00A46E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9B0DEA">
      <w:tc>
        <w:tcPr>
          <w:tcW w:w="2178" w:type="dxa"/>
        </w:tcPr>
        <w:p w:rsidR="009B0DEA" w:rsidRDefault="009B0DEA">
          <w:pPr>
            <w:pStyle w:val="Footer"/>
            <w:rPr>
              <w:rFonts w:ascii="Arial" w:hAnsi="Arial"/>
              <w:b/>
              <w:sz w:val="24"/>
            </w:rPr>
          </w:pPr>
          <w:r>
            <w:rPr>
              <w:rFonts w:ascii="Arial" w:hAnsi="Arial"/>
              <w:b/>
              <w:sz w:val="24"/>
            </w:rPr>
            <w:t>Author</w:t>
          </w:r>
        </w:p>
      </w:tc>
      <w:tc>
        <w:tcPr>
          <w:tcW w:w="8130" w:type="dxa"/>
          <w:gridSpan w:val="2"/>
          <w:vAlign w:val="center"/>
        </w:tcPr>
        <w:p w:rsidR="009B0DEA" w:rsidRDefault="009B0DEA">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C2529D">
            <w:rPr>
              <w:rFonts w:ascii="Arial" w:hAnsi="Arial"/>
              <w:noProof/>
              <w:sz w:val="18"/>
            </w:rPr>
            <w:t>DCP</w:t>
          </w:r>
          <w:r>
            <w:rPr>
              <w:rFonts w:ascii="Arial" w:hAnsi="Arial"/>
              <w:sz w:val="18"/>
            </w:rPr>
            <w:fldChar w:fldCharType="end"/>
          </w:r>
        </w:p>
      </w:tc>
    </w:tr>
    <w:tr w:rsidR="009B0DEA">
      <w:tc>
        <w:tcPr>
          <w:tcW w:w="2178" w:type="dxa"/>
        </w:tcPr>
        <w:p w:rsidR="009B0DEA" w:rsidRDefault="009B0DEA">
          <w:pPr>
            <w:pStyle w:val="Footer"/>
            <w:rPr>
              <w:rFonts w:ascii="Arial" w:hAnsi="Arial"/>
              <w:b/>
              <w:sz w:val="24"/>
            </w:rPr>
          </w:pPr>
          <w:r>
            <w:rPr>
              <w:rFonts w:ascii="Arial" w:hAnsi="Arial"/>
              <w:b/>
              <w:sz w:val="24"/>
            </w:rPr>
            <w:t>Project</w:t>
          </w:r>
        </w:p>
      </w:tc>
      <w:tc>
        <w:tcPr>
          <w:tcW w:w="8130" w:type="dxa"/>
          <w:gridSpan w:val="2"/>
          <w:vAlign w:val="center"/>
        </w:tcPr>
        <w:p w:rsidR="009B0DEA" w:rsidRDefault="009B0DEA">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C2529D">
            <w:rPr>
              <w:rFonts w:ascii="Arial" w:hAnsi="Arial"/>
              <w:noProof/>
              <w:sz w:val="18"/>
            </w:rPr>
            <w:t>ZG60_000152.docx</w:t>
          </w:r>
          <w:r>
            <w:rPr>
              <w:rFonts w:ascii="Arial" w:hAnsi="Arial"/>
              <w:sz w:val="18"/>
            </w:rPr>
            <w:fldChar w:fldCharType="end"/>
          </w:r>
        </w:p>
      </w:tc>
    </w:tr>
    <w:tr w:rsidR="009B0DEA">
      <w:trPr>
        <w:cantSplit/>
      </w:trPr>
      <w:tc>
        <w:tcPr>
          <w:tcW w:w="2178" w:type="dxa"/>
        </w:tcPr>
        <w:p w:rsidR="009B0DEA" w:rsidRDefault="009B0DEA">
          <w:pPr>
            <w:pStyle w:val="Footer"/>
            <w:rPr>
              <w:rFonts w:ascii="Arial" w:hAnsi="Arial"/>
              <w:b/>
              <w:sz w:val="24"/>
            </w:rPr>
          </w:pPr>
          <w:r>
            <w:rPr>
              <w:rFonts w:ascii="Arial" w:hAnsi="Arial"/>
              <w:b/>
              <w:sz w:val="24"/>
            </w:rPr>
            <w:t>Version</w:t>
          </w:r>
        </w:p>
      </w:tc>
      <w:tc>
        <w:tcPr>
          <w:tcW w:w="7200" w:type="dxa"/>
          <w:vAlign w:val="center"/>
        </w:tcPr>
        <w:p w:rsidR="009B0DEA" w:rsidRDefault="009B0DEA">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C2529D">
            <w:rPr>
              <w:rFonts w:ascii="Arial" w:hAnsi="Arial"/>
              <w:sz w:val="18"/>
            </w:rPr>
            <w:t>1.0</w:t>
          </w:r>
          <w:r>
            <w:rPr>
              <w:rFonts w:ascii="Arial" w:hAnsi="Arial"/>
              <w:sz w:val="18"/>
            </w:rPr>
            <w:fldChar w:fldCharType="end"/>
          </w:r>
        </w:p>
      </w:tc>
      <w:tc>
        <w:tcPr>
          <w:tcW w:w="930" w:type="dxa"/>
          <w:vAlign w:val="center"/>
        </w:tcPr>
        <w:p w:rsidR="009B0DEA" w:rsidRDefault="009B0DEA" w:rsidP="00A46EAD">
          <w:pPr>
            <w:tabs>
              <w:tab w:val="center" w:pos="5232"/>
              <w:tab w:val="right" w:pos="10465"/>
            </w:tabs>
            <w:suppressAutoHyphens/>
            <w:jc w:val="right"/>
          </w:pPr>
          <w:r>
            <w:fldChar w:fldCharType="begin"/>
          </w:r>
          <w:r>
            <w:instrText>page \* arabic</w:instrText>
          </w:r>
          <w:r>
            <w:fldChar w:fldCharType="separate"/>
          </w:r>
          <w:r w:rsidR="00176251">
            <w:rPr>
              <w:noProof/>
            </w:rPr>
            <w:t>7</w:t>
          </w:r>
          <w:r>
            <w:fldChar w:fldCharType="end"/>
          </w:r>
          <w:r>
            <w:t xml:space="preserve"> of </w:t>
          </w:r>
          <w:r w:rsidR="00A46EAD">
            <w:t>7</w:t>
          </w:r>
        </w:p>
      </w:tc>
    </w:tr>
  </w:tbl>
  <w:p w:rsidR="009B0DEA" w:rsidRDefault="009B0D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EAD" w:rsidRDefault="00A46E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2D7" w:rsidRDefault="003862D7">
      <w:r>
        <w:separator/>
      </w:r>
    </w:p>
  </w:footnote>
  <w:footnote w:type="continuationSeparator" w:id="0">
    <w:p w:rsidR="003862D7" w:rsidRDefault="00386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EAD" w:rsidRDefault="00A46E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EAD" w:rsidRDefault="00A46E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EAD" w:rsidRDefault="00A46E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9633D62"/>
    <w:multiLevelType w:val="hybridMultilevel"/>
    <w:tmpl w:val="1AD85B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nsid w:val="1AE45828"/>
    <w:multiLevelType w:val="hybridMultilevel"/>
    <w:tmpl w:val="5D24A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5">
    <w:nsid w:val="27762517"/>
    <w:multiLevelType w:val="hybridMultilevel"/>
    <w:tmpl w:val="1ED64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0F4C48"/>
    <w:multiLevelType w:val="hybridMultilevel"/>
    <w:tmpl w:val="4C7A6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A4311E8"/>
    <w:multiLevelType w:val="hybridMultilevel"/>
    <w:tmpl w:val="3ED86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0475672"/>
    <w:multiLevelType w:val="hybridMultilevel"/>
    <w:tmpl w:val="24CCF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7061AC"/>
    <w:multiLevelType w:val="hybridMultilevel"/>
    <w:tmpl w:val="97901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E592FC5"/>
    <w:multiLevelType w:val="hybridMultilevel"/>
    <w:tmpl w:val="BB123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2">
    <w:nsid w:val="473201C8"/>
    <w:multiLevelType w:val="hybridMultilevel"/>
    <w:tmpl w:val="1B68D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F3E37A6"/>
    <w:multiLevelType w:val="hybridMultilevel"/>
    <w:tmpl w:val="32BA5C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5">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6">
    <w:nsid w:val="76823DBC"/>
    <w:multiLevelType w:val="hybridMultilevel"/>
    <w:tmpl w:val="3664F4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E128D5"/>
    <w:multiLevelType w:val="hybridMultilevel"/>
    <w:tmpl w:val="3B82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num>
  <w:num w:numId="4">
    <w:abstractNumId w:val="11"/>
  </w:num>
  <w:num w:numId="5">
    <w:abstractNumId w:val="0"/>
  </w:num>
  <w:num w:numId="6">
    <w:abstractNumId w:val="14"/>
  </w:num>
  <w:num w:numId="7">
    <w:abstractNumId w:val="10"/>
  </w:num>
  <w:num w:numId="8">
    <w:abstractNumId w:val="8"/>
  </w:num>
  <w:num w:numId="9">
    <w:abstractNumId w:val="13"/>
  </w:num>
  <w:num w:numId="10">
    <w:abstractNumId w:val="17"/>
  </w:num>
  <w:num w:numId="11">
    <w:abstractNumId w:val="12"/>
  </w:num>
  <w:num w:numId="12">
    <w:abstractNumId w:val="5"/>
  </w:num>
  <w:num w:numId="13">
    <w:abstractNumId w:val="16"/>
  </w:num>
  <w:num w:numId="14">
    <w:abstractNumId w:val="1"/>
  </w:num>
  <w:num w:numId="15">
    <w:abstractNumId w:val="3"/>
  </w:num>
  <w:num w:numId="16">
    <w:abstractNumId w:val="9"/>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6CD3"/>
    <w:rsid w:val="000073EC"/>
    <w:rsid w:val="00007A72"/>
    <w:rsid w:val="0001137A"/>
    <w:rsid w:val="00012AC1"/>
    <w:rsid w:val="0001377E"/>
    <w:rsid w:val="00014D9F"/>
    <w:rsid w:val="00016FCA"/>
    <w:rsid w:val="00023A77"/>
    <w:rsid w:val="00023FC7"/>
    <w:rsid w:val="00025361"/>
    <w:rsid w:val="00027192"/>
    <w:rsid w:val="000330B0"/>
    <w:rsid w:val="0003379F"/>
    <w:rsid w:val="000342CA"/>
    <w:rsid w:val="00036C80"/>
    <w:rsid w:val="0003797B"/>
    <w:rsid w:val="0004455F"/>
    <w:rsid w:val="00044EB7"/>
    <w:rsid w:val="00044FDD"/>
    <w:rsid w:val="000453DD"/>
    <w:rsid w:val="00046C14"/>
    <w:rsid w:val="000478F9"/>
    <w:rsid w:val="000500B3"/>
    <w:rsid w:val="0005080E"/>
    <w:rsid w:val="000629C0"/>
    <w:rsid w:val="00072418"/>
    <w:rsid w:val="00073168"/>
    <w:rsid w:val="0007487D"/>
    <w:rsid w:val="00075F42"/>
    <w:rsid w:val="00075F4A"/>
    <w:rsid w:val="00077A38"/>
    <w:rsid w:val="000864D4"/>
    <w:rsid w:val="000904A3"/>
    <w:rsid w:val="00091573"/>
    <w:rsid w:val="000937C2"/>
    <w:rsid w:val="0009382C"/>
    <w:rsid w:val="0009688E"/>
    <w:rsid w:val="000A0D20"/>
    <w:rsid w:val="000A2F0C"/>
    <w:rsid w:val="000A2F28"/>
    <w:rsid w:val="000A5451"/>
    <w:rsid w:val="000A55A3"/>
    <w:rsid w:val="000A5D24"/>
    <w:rsid w:val="000A6149"/>
    <w:rsid w:val="000A636F"/>
    <w:rsid w:val="000A75BA"/>
    <w:rsid w:val="000B0507"/>
    <w:rsid w:val="000B285E"/>
    <w:rsid w:val="000B78C8"/>
    <w:rsid w:val="000C07A7"/>
    <w:rsid w:val="000C08A6"/>
    <w:rsid w:val="000C1DC8"/>
    <w:rsid w:val="000C43BC"/>
    <w:rsid w:val="000C5F90"/>
    <w:rsid w:val="000C7479"/>
    <w:rsid w:val="000C7AB6"/>
    <w:rsid w:val="000D121D"/>
    <w:rsid w:val="000D1EF0"/>
    <w:rsid w:val="000D4B0F"/>
    <w:rsid w:val="000D6080"/>
    <w:rsid w:val="000E0ED8"/>
    <w:rsid w:val="000E175D"/>
    <w:rsid w:val="000E5049"/>
    <w:rsid w:val="000E626B"/>
    <w:rsid w:val="000F477B"/>
    <w:rsid w:val="000F73B3"/>
    <w:rsid w:val="0010221A"/>
    <w:rsid w:val="00104622"/>
    <w:rsid w:val="00105304"/>
    <w:rsid w:val="00112229"/>
    <w:rsid w:val="001150C0"/>
    <w:rsid w:val="00115847"/>
    <w:rsid w:val="00117B13"/>
    <w:rsid w:val="001225DB"/>
    <w:rsid w:val="00130215"/>
    <w:rsid w:val="00130AFB"/>
    <w:rsid w:val="001321DC"/>
    <w:rsid w:val="00135BA3"/>
    <w:rsid w:val="00135D27"/>
    <w:rsid w:val="001364DC"/>
    <w:rsid w:val="00137367"/>
    <w:rsid w:val="00141A99"/>
    <w:rsid w:val="00143845"/>
    <w:rsid w:val="00146E58"/>
    <w:rsid w:val="0015025F"/>
    <w:rsid w:val="00150861"/>
    <w:rsid w:val="00153B8D"/>
    <w:rsid w:val="001543A8"/>
    <w:rsid w:val="00155A64"/>
    <w:rsid w:val="00156A17"/>
    <w:rsid w:val="00162350"/>
    <w:rsid w:val="00165525"/>
    <w:rsid w:val="00172E6A"/>
    <w:rsid w:val="00176251"/>
    <w:rsid w:val="0018025B"/>
    <w:rsid w:val="001813CA"/>
    <w:rsid w:val="001845D4"/>
    <w:rsid w:val="0018630E"/>
    <w:rsid w:val="001864EE"/>
    <w:rsid w:val="0019036C"/>
    <w:rsid w:val="00190C77"/>
    <w:rsid w:val="00196255"/>
    <w:rsid w:val="00196DAC"/>
    <w:rsid w:val="001A010F"/>
    <w:rsid w:val="001A0C71"/>
    <w:rsid w:val="001A1110"/>
    <w:rsid w:val="001A12D0"/>
    <w:rsid w:val="001A1929"/>
    <w:rsid w:val="001B2A16"/>
    <w:rsid w:val="001B49BE"/>
    <w:rsid w:val="001B5D01"/>
    <w:rsid w:val="001B6EF4"/>
    <w:rsid w:val="001C5B87"/>
    <w:rsid w:val="001C7EC1"/>
    <w:rsid w:val="001D0139"/>
    <w:rsid w:val="001D5835"/>
    <w:rsid w:val="001E117F"/>
    <w:rsid w:val="001E4A84"/>
    <w:rsid w:val="001E5C85"/>
    <w:rsid w:val="001F3008"/>
    <w:rsid w:val="001F55CF"/>
    <w:rsid w:val="001F5E4C"/>
    <w:rsid w:val="001F682C"/>
    <w:rsid w:val="001F6DAE"/>
    <w:rsid w:val="0020036B"/>
    <w:rsid w:val="002007E6"/>
    <w:rsid w:val="00204CB8"/>
    <w:rsid w:val="00206BB7"/>
    <w:rsid w:val="0020781F"/>
    <w:rsid w:val="0021010F"/>
    <w:rsid w:val="002138D9"/>
    <w:rsid w:val="002141CC"/>
    <w:rsid w:val="00216BBF"/>
    <w:rsid w:val="0022089C"/>
    <w:rsid w:val="00221403"/>
    <w:rsid w:val="002217D3"/>
    <w:rsid w:val="00223371"/>
    <w:rsid w:val="00223D6E"/>
    <w:rsid w:val="00224218"/>
    <w:rsid w:val="00237C7C"/>
    <w:rsid w:val="00242658"/>
    <w:rsid w:val="002428B0"/>
    <w:rsid w:val="002429B3"/>
    <w:rsid w:val="00247CE3"/>
    <w:rsid w:val="00247DEE"/>
    <w:rsid w:val="00257D91"/>
    <w:rsid w:val="00260462"/>
    <w:rsid w:val="002645B8"/>
    <w:rsid w:val="00266495"/>
    <w:rsid w:val="0026717D"/>
    <w:rsid w:val="002717A1"/>
    <w:rsid w:val="00272748"/>
    <w:rsid w:val="00273CB9"/>
    <w:rsid w:val="00274850"/>
    <w:rsid w:val="00275E50"/>
    <w:rsid w:val="0028140B"/>
    <w:rsid w:val="00285E68"/>
    <w:rsid w:val="0028619D"/>
    <w:rsid w:val="00286932"/>
    <w:rsid w:val="00291D9A"/>
    <w:rsid w:val="00291DD7"/>
    <w:rsid w:val="00293163"/>
    <w:rsid w:val="0029522E"/>
    <w:rsid w:val="00296B60"/>
    <w:rsid w:val="00297982"/>
    <w:rsid w:val="002B0A2B"/>
    <w:rsid w:val="002B35E5"/>
    <w:rsid w:val="002B4200"/>
    <w:rsid w:val="002B547C"/>
    <w:rsid w:val="002B5C9F"/>
    <w:rsid w:val="002B618D"/>
    <w:rsid w:val="002B77AA"/>
    <w:rsid w:val="002C1A11"/>
    <w:rsid w:val="002C224F"/>
    <w:rsid w:val="002C3AE4"/>
    <w:rsid w:val="002C5688"/>
    <w:rsid w:val="002C75DF"/>
    <w:rsid w:val="002D06E4"/>
    <w:rsid w:val="002D4C8E"/>
    <w:rsid w:val="002E16A3"/>
    <w:rsid w:val="002E4E3C"/>
    <w:rsid w:val="002E5906"/>
    <w:rsid w:val="002F02F3"/>
    <w:rsid w:val="002F12A3"/>
    <w:rsid w:val="002F2C20"/>
    <w:rsid w:val="002F3973"/>
    <w:rsid w:val="002F448F"/>
    <w:rsid w:val="002F4632"/>
    <w:rsid w:val="002F70BF"/>
    <w:rsid w:val="00301969"/>
    <w:rsid w:val="003104E4"/>
    <w:rsid w:val="003107E0"/>
    <w:rsid w:val="00310E4F"/>
    <w:rsid w:val="00311842"/>
    <w:rsid w:val="0031343C"/>
    <w:rsid w:val="003135AC"/>
    <w:rsid w:val="003155EE"/>
    <w:rsid w:val="00316228"/>
    <w:rsid w:val="0032115F"/>
    <w:rsid w:val="00321CE8"/>
    <w:rsid w:val="00321D8D"/>
    <w:rsid w:val="00322E8A"/>
    <w:rsid w:val="0032528B"/>
    <w:rsid w:val="00325757"/>
    <w:rsid w:val="0033019E"/>
    <w:rsid w:val="003310C5"/>
    <w:rsid w:val="003334A5"/>
    <w:rsid w:val="00333A95"/>
    <w:rsid w:val="00343B0E"/>
    <w:rsid w:val="00344EE8"/>
    <w:rsid w:val="00345290"/>
    <w:rsid w:val="00345DB5"/>
    <w:rsid w:val="00346886"/>
    <w:rsid w:val="003530C7"/>
    <w:rsid w:val="00353B86"/>
    <w:rsid w:val="00354767"/>
    <w:rsid w:val="003568C7"/>
    <w:rsid w:val="00357EA9"/>
    <w:rsid w:val="00360CD4"/>
    <w:rsid w:val="0036103A"/>
    <w:rsid w:val="00362FD2"/>
    <w:rsid w:val="00363B0A"/>
    <w:rsid w:val="003648CC"/>
    <w:rsid w:val="0036703C"/>
    <w:rsid w:val="0036784D"/>
    <w:rsid w:val="00372682"/>
    <w:rsid w:val="00372D60"/>
    <w:rsid w:val="00373564"/>
    <w:rsid w:val="003757FD"/>
    <w:rsid w:val="00380C41"/>
    <w:rsid w:val="00381652"/>
    <w:rsid w:val="00384335"/>
    <w:rsid w:val="00384DDA"/>
    <w:rsid w:val="00384F67"/>
    <w:rsid w:val="003854AD"/>
    <w:rsid w:val="003855FD"/>
    <w:rsid w:val="003862D7"/>
    <w:rsid w:val="00390A6C"/>
    <w:rsid w:val="00390B19"/>
    <w:rsid w:val="00394941"/>
    <w:rsid w:val="00395398"/>
    <w:rsid w:val="00396E00"/>
    <w:rsid w:val="003A08FD"/>
    <w:rsid w:val="003A20EF"/>
    <w:rsid w:val="003A44E6"/>
    <w:rsid w:val="003A5D06"/>
    <w:rsid w:val="003A7515"/>
    <w:rsid w:val="003B1C02"/>
    <w:rsid w:val="003B2FDA"/>
    <w:rsid w:val="003B4045"/>
    <w:rsid w:val="003B47F5"/>
    <w:rsid w:val="003B6E0E"/>
    <w:rsid w:val="003C0866"/>
    <w:rsid w:val="003C2E87"/>
    <w:rsid w:val="003C4904"/>
    <w:rsid w:val="003C4B9A"/>
    <w:rsid w:val="003C5670"/>
    <w:rsid w:val="003C660F"/>
    <w:rsid w:val="003C6FA3"/>
    <w:rsid w:val="003C741C"/>
    <w:rsid w:val="003D2356"/>
    <w:rsid w:val="003D2459"/>
    <w:rsid w:val="003D2EA5"/>
    <w:rsid w:val="003D3317"/>
    <w:rsid w:val="003D45BD"/>
    <w:rsid w:val="003D76C4"/>
    <w:rsid w:val="003E0C5D"/>
    <w:rsid w:val="003E15D1"/>
    <w:rsid w:val="003E3533"/>
    <w:rsid w:val="003E67C1"/>
    <w:rsid w:val="003F559A"/>
    <w:rsid w:val="003F66C7"/>
    <w:rsid w:val="003F76A5"/>
    <w:rsid w:val="00400686"/>
    <w:rsid w:val="004009FF"/>
    <w:rsid w:val="004021AF"/>
    <w:rsid w:val="0040627C"/>
    <w:rsid w:val="00406772"/>
    <w:rsid w:val="00407759"/>
    <w:rsid w:val="00411772"/>
    <w:rsid w:val="004134AD"/>
    <w:rsid w:val="00416435"/>
    <w:rsid w:val="004166E7"/>
    <w:rsid w:val="004201E6"/>
    <w:rsid w:val="004215DC"/>
    <w:rsid w:val="00421D0A"/>
    <w:rsid w:val="004248FC"/>
    <w:rsid w:val="0043088F"/>
    <w:rsid w:val="004310EF"/>
    <w:rsid w:val="004313BC"/>
    <w:rsid w:val="00431431"/>
    <w:rsid w:val="00433A41"/>
    <w:rsid w:val="00434F0D"/>
    <w:rsid w:val="004366FE"/>
    <w:rsid w:val="00437B8F"/>
    <w:rsid w:val="00441B2A"/>
    <w:rsid w:val="004420D7"/>
    <w:rsid w:val="00443FA2"/>
    <w:rsid w:val="00444701"/>
    <w:rsid w:val="0044541D"/>
    <w:rsid w:val="00446516"/>
    <w:rsid w:val="00446FBF"/>
    <w:rsid w:val="004534C3"/>
    <w:rsid w:val="00453B73"/>
    <w:rsid w:val="0045518E"/>
    <w:rsid w:val="0045654C"/>
    <w:rsid w:val="00460ECF"/>
    <w:rsid w:val="0046126C"/>
    <w:rsid w:val="00462CF9"/>
    <w:rsid w:val="0046401A"/>
    <w:rsid w:val="0046425E"/>
    <w:rsid w:val="00465820"/>
    <w:rsid w:val="0048189F"/>
    <w:rsid w:val="004927A8"/>
    <w:rsid w:val="004978F6"/>
    <w:rsid w:val="004A386D"/>
    <w:rsid w:val="004A494C"/>
    <w:rsid w:val="004A6712"/>
    <w:rsid w:val="004B0191"/>
    <w:rsid w:val="004B1244"/>
    <w:rsid w:val="004B16D9"/>
    <w:rsid w:val="004B18DE"/>
    <w:rsid w:val="004B4A42"/>
    <w:rsid w:val="004C1479"/>
    <w:rsid w:val="004C2399"/>
    <w:rsid w:val="004C4EAB"/>
    <w:rsid w:val="004C6E81"/>
    <w:rsid w:val="004D14BB"/>
    <w:rsid w:val="004D159A"/>
    <w:rsid w:val="004D444A"/>
    <w:rsid w:val="004D6C7F"/>
    <w:rsid w:val="004E305B"/>
    <w:rsid w:val="004E3200"/>
    <w:rsid w:val="004E35E4"/>
    <w:rsid w:val="004E3E3D"/>
    <w:rsid w:val="004E5C2B"/>
    <w:rsid w:val="004E7448"/>
    <w:rsid w:val="004F253B"/>
    <w:rsid w:val="004F396A"/>
    <w:rsid w:val="004F4B1C"/>
    <w:rsid w:val="004F59B7"/>
    <w:rsid w:val="004F72E2"/>
    <w:rsid w:val="004F766E"/>
    <w:rsid w:val="00500FF4"/>
    <w:rsid w:val="005013F2"/>
    <w:rsid w:val="00502052"/>
    <w:rsid w:val="00502836"/>
    <w:rsid w:val="00503B0C"/>
    <w:rsid w:val="00504A4A"/>
    <w:rsid w:val="005053EA"/>
    <w:rsid w:val="00505D98"/>
    <w:rsid w:val="005066DA"/>
    <w:rsid w:val="00507EE9"/>
    <w:rsid w:val="00511348"/>
    <w:rsid w:val="00512E58"/>
    <w:rsid w:val="00515BF5"/>
    <w:rsid w:val="0051747F"/>
    <w:rsid w:val="00517D0E"/>
    <w:rsid w:val="00520B6C"/>
    <w:rsid w:val="005227BD"/>
    <w:rsid w:val="00522C94"/>
    <w:rsid w:val="005302C7"/>
    <w:rsid w:val="00531464"/>
    <w:rsid w:val="00533CFF"/>
    <w:rsid w:val="00533FBB"/>
    <w:rsid w:val="00535E81"/>
    <w:rsid w:val="00537677"/>
    <w:rsid w:val="00542824"/>
    <w:rsid w:val="0054299A"/>
    <w:rsid w:val="00542D7A"/>
    <w:rsid w:val="00543D92"/>
    <w:rsid w:val="00547968"/>
    <w:rsid w:val="00547EB4"/>
    <w:rsid w:val="00550446"/>
    <w:rsid w:val="00552353"/>
    <w:rsid w:val="0055278F"/>
    <w:rsid w:val="00554213"/>
    <w:rsid w:val="00555369"/>
    <w:rsid w:val="00556FE5"/>
    <w:rsid w:val="005604AF"/>
    <w:rsid w:val="005614F5"/>
    <w:rsid w:val="00561739"/>
    <w:rsid w:val="00561AD8"/>
    <w:rsid w:val="0056284F"/>
    <w:rsid w:val="00564A08"/>
    <w:rsid w:val="00566115"/>
    <w:rsid w:val="005664F2"/>
    <w:rsid w:val="00570389"/>
    <w:rsid w:val="005707CD"/>
    <w:rsid w:val="0057298F"/>
    <w:rsid w:val="00574FC7"/>
    <w:rsid w:val="00576EE9"/>
    <w:rsid w:val="005773A4"/>
    <w:rsid w:val="00581CF4"/>
    <w:rsid w:val="00587F61"/>
    <w:rsid w:val="00590045"/>
    <w:rsid w:val="005917EB"/>
    <w:rsid w:val="00594EA3"/>
    <w:rsid w:val="00596187"/>
    <w:rsid w:val="00597693"/>
    <w:rsid w:val="005A1D0C"/>
    <w:rsid w:val="005A2195"/>
    <w:rsid w:val="005A509A"/>
    <w:rsid w:val="005A5F49"/>
    <w:rsid w:val="005B0AEA"/>
    <w:rsid w:val="005B63FC"/>
    <w:rsid w:val="005C0734"/>
    <w:rsid w:val="005C36AC"/>
    <w:rsid w:val="005C407A"/>
    <w:rsid w:val="005C4116"/>
    <w:rsid w:val="005C4646"/>
    <w:rsid w:val="005C78B6"/>
    <w:rsid w:val="005D4144"/>
    <w:rsid w:val="005D56A7"/>
    <w:rsid w:val="005D5C93"/>
    <w:rsid w:val="005E48DF"/>
    <w:rsid w:val="005E4EED"/>
    <w:rsid w:val="005E5EB8"/>
    <w:rsid w:val="005F574C"/>
    <w:rsid w:val="005F7F35"/>
    <w:rsid w:val="00600966"/>
    <w:rsid w:val="00600B21"/>
    <w:rsid w:val="00601444"/>
    <w:rsid w:val="00607F0E"/>
    <w:rsid w:val="0061102F"/>
    <w:rsid w:val="00611D99"/>
    <w:rsid w:val="00614B0D"/>
    <w:rsid w:val="00617BBF"/>
    <w:rsid w:val="006220FA"/>
    <w:rsid w:val="00627BA2"/>
    <w:rsid w:val="0063420E"/>
    <w:rsid w:val="00634AD4"/>
    <w:rsid w:val="0063591D"/>
    <w:rsid w:val="00636BA6"/>
    <w:rsid w:val="00645CE3"/>
    <w:rsid w:val="006460A5"/>
    <w:rsid w:val="0064728E"/>
    <w:rsid w:val="006511FA"/>
    <w:rsid w:val="00652B5F"/>
    <w:rsid w:val="00653501"/>
    <w:rsid w:val="006566A4"/>
    <w:rsid w:val="00656DEB"/>
    <w:rsid w:val="00660C7D"/>
    <w:rsid w:val="00661BC7"/>
    <w:rsid w:val="00663065"/>
    <w:rsid w:val="006727C9"/>
    <w:rsid w:val="00673356"/>
    <w:rsid w:val="006801BA"/>
    <w:rsid w:val="00680723"/>
    <w:rsid w:val="00681336"/>
    <w:rsid w:val="006819A1"/>
    <w:rsid w:val="00682B8F"/>
    <w:rsid w:val="00682FF7"/>
    <w:rsid w:val="00684302"/>
    <w:rsid w:val="00685A71"/>
    <w:rsid w:val="006878C1"/>
    <w:rsid w:val="0069063C"/>
    <w:rsid w:val="00690F92"/>
    <w:rsid w:val="00691F5F"/>
    <w:rsid w:val="00693CFD"/>
    <w:rsid w:val="006945B0"/>
    <w:rsid w:val="006A428F"/>
    <w:rsid w:val="006A47DA"/>
    <w:rsid w:val="006A502E"/>
    <w:rsid w:val="006A6E4F"/>
    <w:rsid w:val="006B09AB"/>
    <w:rsid w:val="006B2BFF"/>
    <w:rsid w:val="006B30AA"/>
    <w:rsid w:val="006B343A"/>
    <w:rsid w:val="006B7958"/>
    <w:rsid w:val="006B7CBD"/>
    <w:rsid w:val="006C6EB9"/>
    <w:rsid w:val="006D139A"/>
    <w:rsid w:val="006D1EB9"/>
    <w:rsid w:val="006D33E3"/>
    <w:rsid w:val="006D397C"/>
    <w:rsid w:val="006D3D7F"/>
    <w:rsid w:val="006D5FAE"/>
    <w:rsid w:val="006D7AE7"/>
    <w:rsid w:val="006E02B0"/>
    <w:rsid w:val="006E5EC2"/>
    <w:rsid w:val="006E7113"/>
    <w:rsid w:val="006F26E2"/>
    <w:rsid w:val="006F3DF0"/>
    <w:rsid w:val="006F4B7F"/>
    <w:rsid w:val="006F69C8"/>
    <w:rsid w:val="00702EC4"/>
    <w:rsid w:val="0070318E"/>
    <w:rsid w:val="0070482D"/>
    <w:rsid w:val="00704DCD"/>
    <w:rsid w:val="0070512F"/>
    <w:rsid w:val="00706391"/>
    <w:rsid w:val="00710AB2"/>
    <w:rsid w:val="007152E5"/>
    <w:rsid w:val="0071650B"/>
    <w:rsid w:val="00716B1D"/>
    <w:rsid w:val="0072139B"/>
    <w:rsid w:val="00726C9B"/>
    <w:rsid w:val="007300EF"/>
    <w:rsid w:val="00730C09"/>
    <w:rsid w:val="0073351B"/>
    <w:rsid w:val="007338BF"/>
    <w:rsid w:val="00737849"/>
    <w:rsid w:val="0074040D"/>
    <w:rsid w:val="0074056F"/>
    <w:rsid w:val="00740ED4"/>
    <w:rsid w:val="00752750"/>
    <w:rsid w:val="00753ACD"/>
    <w:rsid w:val="00755451"/>
    <w:rsid w:val="007558A9"/>
    <w:rsid w:val="0075725F"/>
    <w:rsid w:val="00762463"/>
    <w:rsid w:val="00762814"/>
    <w:rsid w:val="00767206"/>
    <w:rsid w:val="00767802"/>
    <w:rsid w:val="00770368"/>
    <w:rsid w:val="00771EF0"/>
    <w:rsid w:val="0077248B"/>
    <w:rsid w:val="00775AEC"/>
    <w:rsid w:val="0078039A"/>
    <w:rsid w:val="00781D59"/>
    <w:rsid w:val="007834C4"/>
    <w:rsid w:val="00785689"/>
    <w:rsid w:val="007912BE"/>
    <w:rsid w:val="007914AD"/>
    <w:rsid w:val="007915DB"/>
    <w:rsid w:val="0079306A"/>
    <w:rsid w:val="007A02F8"/>
    <w:rsid w:val="007A2D11"/>
    <w:rsid w:val="007A354A"/>
    <w:rsid w:val="007A50D4"/>
    <w:rsid w:val="007A5D38"/>
    <w:rsid w:val="007A6186"/>
    <w:rsid w:val="007B19EA"/>
    <w:rsid w:val="007B46A4"/>
    <w:rsid w:val="007B5EA5"/>
    <w:rsid w:val="007B7BCB"/>
    <w:rsid w:val="007C1CBA"/>
    <w:rsid w:val="007C22AC"/>
    <w:rsid w:val="007C5834"/>
    <w:rsid w:val="007C5D2A"/>
    <w:rsid w:val="007C6BD1"/>
    <w:rsid w:val="007D2D51"/>
    <w:rsid w:val="007D3F96"/>
    <w:rsid w:val="007D5C44"/>
    <w:rsid w:val="007D735B"/>
    <w:rsid w:val="007E0E63"/>
    <w:rsid w:val="007E177B"/>
    <w:rsid w:val="007E190D"/>
    <w:rsid w:val="007E2504"/>
    <w:rsid w:val="007E2C1B"/>
    <w:rsid w:val="007E4457"/>
    <w:rsid w:val="007E567E"/>
    <w:rsid w:val="007E645C"/>
    <w:rsid w:val="00805A27"/>
    <w:rsid w:val="00812031"/>
    <w:rsid w:val="00813496"/>
    <w:rsid w:val="00815BF2"/>
    <w:rsid w:val="00815FF5"/>
    <w:rsid w:val="008179F9"/>
    <w:rsid w:val="008221A0"/>
    <w:rsid w:val="008227B1"/>
    <w:rsid w:val="008234B2"/>
    <w:rsid w:val="0082596A"/>
    <w:rsid w:val="00825E3F"/>
    <w:rsid w:val="00825F65"/>
    <w:rsid w:val="008277DA"/>
    <w:rsid w:val="00832A74"/>
    <w:rsid w:val="008367AD"/>
    <w:rsid w:val="008409DB"/>
    <w:rsid w:val="008414F7"/>
    <w:rsid w:val="008419F1"/>
    <w:rsid w:val="00843661"/>
    <w:rsid w:val="0086354C"/>
    <w:rsid w:val="008640F8"/>
    <w:rsid w:val="00866A15"/>
    <w:rsid w:val="00871FA0"/>
    <w:rsid w:val="008742EE"/>
    <w:rsid w:val="00875845"/>
    <w:rsid w:val="008758B4"/>
    <w:rsid w:val="00876413"/>
    <w:rsid w:val="00880A2C"/>
    <w:rsid w:val="00881762"/>
    <w:rsid w:val="008829D4"/>
    <w:rsid w:val="00882ECC"/>
    <w:rsid w:val="00884B99"/>
    <w:rsid w:val="008872E1"/>
    <w:rsid w:val="008876BE"/>
    <w:rsid w:val="00890B1D"/>
    <w:rsid w:val="008914C7"/>
    <w:rsid w:val="008A18E8"/>
    <w:rsid w:val="008A22E2"/>
    <w:rsid w:val="008A27BF"/>
    <w:rsid w:val="008A67E0"/>
    <w:rsid w:val="008B2DFB"/>
    <w:rsid w:val="008C06E4"/>
    <w:rsid w:val="008C09C2"/>
    <w:rsid w:val="008C1B0A"/>
    <w:rsid w:val="008C3249"/>
    <w:rsid w:val="008C68F0"/>
    <w:rsid w:val="008C7525"/>
    <w:rsid w:val="008D089C"/>
    <w:rsid w:val="008D0AF4"/>
    <w:rsid w:val="008D1AA2"/>
    <w:rsid w:val="008D326B"/>
    <w:rsid w:val="008D6A16"/>
    <w:rsid w:val="008E46E3"/>
    <w:rsid w:val="008E645B"/>
    <w:rsid w:val="008E646C"/>
    <w:rsid w:val="008E6AC4"/>
    <w:rsid w:val="008E6B4C"/>
    <w:rsid w:val="008E6CF1"/>
    <w:rsid w:val="008E7B3D"/>
    <w:rsid w:val="008E7D9D"/>
    <w:rsid w:val="008E7E92"/>
    <w:rsid w:val="008F2282"/>
    <w:rsid w:val="008F5DE7"/>
    <w:rsid w:val="008F6824"/>
    <w:rsid w:val="008F6C2E"/>
    <w:rsid w:val="008F7D44"/>
    <w:rsid w:val="00904453"/>
    <w:rsid w:val="0090625A"/>
    <w:rsid w:val="00907E96"/>
    <w:rsid w:val="0091070B"/>
    <w:rsid w:val="00910F5C"/>
    <w:rsid w:val="00912D67"/>
    <w:rsid w:val="00915B2A"/>
    <w:rsid w:val="00916652"/>
    <w:rsid w:val="009166E4"/>
    <w:rsid w:val="00920BB9"/>
    <w:rsid w:val="00926703"/>
    <w:rsid w:val="00927271"/>
    <w:rsid w:val="00933794"/>
    <w:rsid w:val="00935789"/>
    <w:rsid w:val="00937B8A"/>
    <w:rsid w:val="009406F6"/>
    <w:rsid w:val="009445E9"/>
    <w:rsid w:val="00944B79"/>
    <w:rsid w:val="00945882"/>
    <w:rsid w:val="009502C1"/>
    <w:rsid w:val="009534B8"/>
    <w:rsid w:val="009562D3"/>
    <w:rsid w:val="0095704A"/>
    <w:rsid w:val="00961181"/>
    <w:rsid w:val="0096119F"/>
    <w:rsid w:val="00964F20"/>
    <w:rsid w:val="00965A9C"/>
    <w:rsid w:val="00966E3E"/>
    <w:rsid w:val="009675C7"/>
    <w:rsid w:val="00967BC2"/>
    <w:rsid w:val="0097204B"/>
    <w:rsid w:val="00972288"/>
    <w:rsid w:val="00976247"/>
    <w:rsid w:val="009837BB"/>
    <w:rsid w:val="009858B6"/>
    <w:rsid w:val="0098640D"/>
    <w:rsid w:val="009905A7"/>
    <w:rsid w:val="00994B86"/>
    <w:rsid w:val="009A4DFC"/>
    <w:rsid w:val="009A5DDC"/>
    <w:rsid w:val="009A6621"/>
    <w:rsid w:val="009B0DEA"/>
    <w:rsid w:val="009B5998"/>
    <w:rsid w:val="009C0634"/>
    <w:rsid w:val="009C24B6"/>
    <w:rsid w:val="009C2CAE"/>
    <w:rsid w:val="009C5265"/>
    <w:rsid w:val="009C6160"/>
    <w:rsid w:val="009C6BF3"/>
    <w:rsid w:val="009C7466"/>
    <w:rsid w:val="009C7E4D"/>
    <w:rsid w:val="009D33A2"/>
    <w:rsid w:val="009D395B"/>
    <w:rsid w:val="009D5A92"/>
    <w:rsid w:val="009D623B"/>
    <w:rsid w:val="009D6312"/>
    <w:rsid w:val="009E22DC"/>
    <w:rsid w:val="009E4060"/>
    <w:rsid w:val="009E528A"/>
    <w:rsid w:val="009F10A5"/>
    <w:rsid w:val="009F16E7"/>
    <w:rsid w:val="009F2677"/>
    <w:rsid w:val="009F3D0B"/>
    <w:rsid w:val="009F3D23"/>
    <w:rsid w:val="00A00A5E"/>
    <w:rsid w:val="00A04635"/>
    <w:rsid w:val="00A04F4D"/>
    <w:rsid w:val="00A07B36"/>
    <w:rsid w:val="00A106E7"/>
    <w:rsid w:val="00A12CDA"/>
    <w:rsid w:val="00A15965"/>
    <w:rsid w:val="00A16004"/>
    <w:rsid w:val="00A23116"/>
    <w:rsid w:val="00A2573D"/>
    <w:rsid w:val="00A26B05"/>
    <w:rsid w:val="00A35160"/>
    <w:rsid w:val="00A36300"/>
    <w:rsid w:val="00A41985"/>
    <w:rsid w:val="00A41CF0"/>
    <w:rsid w:val="00A4278A"/>
    <w:rsid w:val="00A46EAD"/>
    <w:rsid w:val="00A50D75"/>
    <w:rsid w:val="00A5160D"/>
    <w:rsid w:val="00A55BC8"/>
    <w:rsid w:val="00A56DA4"/>
    <w:rsid w:val="00A56FA8"/>
    <w:rsid w:val="00A6209D"/>
    <w:rsid w:val="00A65952"/>
    <w:rsid w:val="00A661E2"/>
    <w:rsid w:val="00A66BBD"/>
    <w:rsid w:val="00A67B41"/>
    <w:rsid w:val="00A67C80"/>
    <w:rsid w:val="00A75B1A"/>
    <w:rsid w:val="00A77112"/>
    <w:rsid w:val="00A8018E"/>
    <w:rsid w:val="00A81885"/>
    <w:rsid w:val="00A82815"/>
    <w:rsid w:val="00A835E4"/>
    <w:rsid w:val="00A853EE"/>
    <w:rsid w:val="00A909AC"/>
    <w:rsid w:val="00A95CDF"/>
    <w:rsid w:val="00A9700C"/>
    <w:rsid w:val="00A97355"/>
    <w:rsid w:val="00AA09B3"/>
    <w:rsid w:val="00AA1975"/>
    <w:rsid w:val="00AA2871"/>
    <w:rsid w:val="00AA48C4"/>
    <w:rsid w:val="00AA5E03"/>
    <w:rsid w:val="00AB07BE"/>
    <w:rsid w:val="00AB0E8D"/>
    <w:rsid w:val="00AB353A"/>
    <w:rsid w:val="00AC5E57"/>
    <w:rsid w:val="00AD170F"/>
    <w:rsid w:val="00AD30F5"/>
    <w:rsid w:val="00AD32AD"/>
    <w:rsid w:val="00AD5142"/>
    <w:rsid w:val="00AD5A0D"/>
    <w:rsid w:val="00AD67A0"/>
    <w:rsid w:val="00AD7DB4"/>
    <w:rsid w:val="00AE3E47"/>
    <w:rsid w:val="00AE46D6"/>
    <w:rsid w:val="00AF19C2"/>
    <w:rsid w:val="00AF27DE"/>
    <w:rsid w:val="00AF6ABE"/>
    <w:rsid w:val="00AF6F21"/>
    <w:rsid w:val="00AF741A"/>
    <w:rsid w:val="00B00561"/>
    <w:rsid w:val="00B015E3"/>
    <w:rsid w:val="00B03582"/>
    <w:rsid w:val="00B03A56"/>
    <w:rsid w:val="00B0491E"/>
    <w:rsid w:val="00B07509"/>
    <w:rsid w:val="00B10371"/>
    <w:rsid w:val="00B11E43"/>
    <w:rsid w:val="00B12988"/>
    <w:rsid w:val="00B1701E"/>
    <w:rsid w:val="00B20B5C"/>
    <w:rsid w:val="00B20F5A"/>
    <w:rsid w:val="00B21C69"/>
    <w:rsid w:val="00B229F4"/>
    <w:rsid w:val="00B23114"/>
    <w:rsid w:val="00B25656"/>
    <w:rsid w:val="00B31029"/>
    <w:rsid w:val="00B334C3"/>
    <w:rsid w:val="00B33624"/>
    <w:rsid w:val="00B37298"/>
    <w:rsid w:val="00B513B7"/>
    <w:rsid w:val="00B514DA"/>
    <w:rsid w:val="00B5154A"/>
    <w:rsid w:val="00B52735"/>
    <w:rsid w:val="00B55215"/>
    <w:rsid w:val="00B61696"/>
    <w:rsid w:val="00B6216A"/>
    <w:rsid w:val="00B62C8F"/>
    <w:rsid w:val="00B63298"/>
    <w:rsid w:val="00B63EC8"/>
    <w:rsid w:val="00B64195"/>
    <w:rsid w:val="00B65A22"/>
    <w:rsid w:val="00B67CB7"/>
    <w:rsid w:val="00B70FCB"/>
    <w:rsid w:val="00B73EEA"/>
    <w:rsid w:val="00B76D55"/>
    <w:rsid w:val="00B83114"/>
    <w:rsid w:val="00B83C9B"/>
    <w:rsid w:val="00B854BC"/>
    <w:rsid w:val="00B922F3"/>
    <w:rsid w:val="00B92A4F"/>
    <w:rsid w:val="00B92E57"/>
    <w:rsid w:val="00B93EC1"/>
    <w:rsid w:val="00B94B68"/>
    <w:rsid w:val="00B958E8"/>
    <w:rsid w:val="00B96F97"/>
    <w:rsid w:val="00B973D5"/>
    <w:rsid w:val="00B97496"/>
    <w:rsid w:val="00B9753F"/>
    <w:rsid w:val="00BA0078"/>
    <w:rsid w:val="00BA12BD"/>
    <w:rsid w:val="00BA2F2C"/>
    <w:rsid w:val="00BA5827"/>
    <w:rsid w:val="00BA654A"/>
    <w:rsid w:val="00BB61A2"/>
    <w:rsid w:val="00BC19AF"/>
    <w:rsid w:val="00BC33DB"/>
    <w:rsid w:val="00BC3DE7"/>
    <w:rsid w:val="00BC7D5F"/>
    <w:rsid w:val="00BD0BE1"/>
    <w:rsid w:val="00BD1792"/>
    <w:rsid w:val="00BD2BB6"/>
    <w:rsid w:val="00BD2D13"/>
    <w:rsid w:val="00BD4EC8"/>
    <w:rsid w:val="00BE3BB2"/>
    <w:rsid w:val="00BE5BD2"/>
    <w:rsid w:val="00BE6D19"/>
    <w:rsid w:val="00BE7E29"/>
    <w:rsid w:val="00BF0C0A"/>
    <w:rsid w:val="00BF255C"/>
    <w:rsid w:val="00BF4139"/>
    <w:rsid w:val="00BF43B4"/>
    <w:rsid w:val="00BF5089"/>
    <w:rsid w:val="00BF79D0"/>
    <w:rsid w:val="00BF7AFE"/>
    <w:rsid w:val="00C0202A"/>
    <w:rsid w:val="00C02F36"/>
    <w:rsid w:val="00C05BBC"/>
    <w:rsid w:val="00C100F2"/>
    <w:rsid w:val="00C12034"/>
    <w:rsid w:val="00C16853"/>
    <w:rsid w:val="00C17FA3"/>
    <w:rsid w:val="00C23DAA"/>
    <w:rsid w:val="00C2529D"/>
    <w:rsid w:val="00C337E2"/>
    <w:rsid w:val="00C36339"/>
    <w:rsid w:val="00C41073"/>
    <w:rsid w:val="00C411E2"/>
    <w:rsid w:val="00C428FC"/>
    <w:rsid w:val="00C45198"/>
    <w:rsid w:val="00C46A01"/>
    <w:rsid w:val="00C55BEE"/>
    <w:rsid w:val="00C5658B"/>
    <w:rsid w:val="00C57F11"/>
    <w:rsid w:val="00C60F91"/>
    <w:rsid w:val="00C61BFB"/>
    <w:rsid w:val="00C62831"/>
    <w:rsid w:val="00C67A1B"/>
    <w:rsid w:val="00C71942"/>
    <w:rsid w:val="00C72D7F"/>
    <w:rsid w:val="00C763AF"/>
    <w:rsid w:val="00C771E9"/>
    <w:rsid w:val="00C810F1"/>
    <w:rsid w:val="00C83535"/>
    <w:rsid w:val="00C838B8"/>
    <w:rsid w:val="00C83CB4"/>
    <w:rsid w:val="00C85F09"/>
    <w:rsid w:val="00C870CB"/>
    <w:rsid w:val="00C926F7"/>
    <w:rsid w:val="00C937B6"/>
    <w:rsid w:val="00C93ED9"/>
    <w:rsid w:val="00C940C8"/>
    <w:rsid w:val="00CA0DF2"/>
    <w:rsid w:val="00CA30B9"/>
    <w:rsid w:val="00CA5B91"/>
    <w:rsid w:val="00CA5D9B"/>
    <w:rsid w:val="00CA5ED3"/>
    <w:rsid w:val="00CA6031"/>
    <w:rsid w:val="00CA6535"/>
    <w:rsid w:val="00CB076A"/>
    <w:rsid w:val="00CB2ECD"/>
    <w:rsid w:val="00CB487C"/>
    <w:rsid w:val="00CB6737"/>
    <w:rsid w:val="00CC68F0"/>
    <w:rsid w:val="00CD2401"/>
    <w:rsid w:val="00CD343B"/>
    <w:rsid w:val="00CD729E"/>
    <w:rsid w:val="00CE236A"/>
    <w:rsid w:val="00CE4331"/>
    <w:rsid w:val="00CF0519"/>
    <w:rsid w:val="00CF120B"/>
    <w:rsid w:val="00CF1878"/>
    <w:rsid w:val="00CF31EB"/>
    <w:rsid w:val="00D00C74"/>
    <w:rsid w:val="00D00CEE"/>
    <w:rsid w:val="00D01075"/>
    <w:rsid w:val="00D0356F"/>
    <w:rsid w:val="00D05283"/>
    <w:rsid w:val="00D10D01"/>
    <w:rsid w:val="00D1763E"/>
    <w:rsid w:val="00D256C3"/>
    <w:rsid w:val="00D25DFB"/>
    <w:rsid w:val="00D26048"/>
    <w:rsid w:val="00D2682E"/>
    <w:rsid w:val="00D26CD5"/>
    <w:rsid w:val="00D300C6"/>
    <w:rsid w:val="00D35F3C"/>
    <w:rsid w:val="00D45071"/>
    <w:rsid w:val="00D50AD8"/>
    <w:rsid w:val="00D5192E"/>
    <w:rsid w:val="00D519EA"/>
    <w:rsid w:val="00D52556"/>
    <w:rsid w:val="00D5281E"/>
    <w:rsid w:val="00D53089"/>
    <w:rsid w:val="00D60E1A"/>
    <w:rsid w:val="00D619CA"/>
    <w:rsid w:val="00D62581"/>
    <w:rsid w:val="00D63C3F"/>
    <w:rsid w:val="00D64BB6"/>
    <w:rsid w:val="00D702B4"/>
    <w:rsid w:val="00D75022"/>
    <w:rsid w:val="00D760A9"/>
    <w:rsid w:val="00D77864"/>
    <w:rsid w:val="00D8003C"/>
    <w:rsid w:val="00D81616"/>
    <w:rsid w:val="00D83397"/>
    <w:rsid w:val="00D86166"/>
    <w:rsid w:val="00D86181"/>
    <w:rsid w:val="00D8740C"/>
    <w:rsid w:val="00D877D4"/>
    <w:rsid w:val="00D90EAA"/>
    <w:rsid w:val="00D95323"/>
    <w:rsid w:val="00D974A4"/>
    <w:rsid w:val="00D97CE4"/>
    <w:rsid w:val="00DA1238"/>
    <w:rsid w:val="00DA2F2E"/>
    <w:rsid w:val="00DA651B"/>
    <w:rsid w:val="00DA7BB4"/>
    <w:rsid w:val="00DB0B2D"/>
    <w:rsid w:val="00DB1507"/>
    <w:rsid w:val="00DB5EB5"/>
    <w:rsid w:val="00DB63F3"/>
    <w:rsid w:val="00DC00E8"/>
    <w:rsid w:val="00DC3DE6"/>
    <w:rsid w:val="00DC4968"/>
    <w:rsid w:val="00DC7BC7"/>
    <w:rsid w:val="00DD1729"/>
    <w:rsid w:val="00DD243B"/>
    <w:rsid w:val="00DD39CA"/>
    <w:rsid w:val="00DD3C87"/>
    <w:rsid w:val="00DD4514"/>
    <w:rsid w:val="00DD46D4"/>
    <w:rsid w:val="00DD5E7A"/>
    <w:rsid w:val="00DD5E91"/>
    <w:rsid w:val="00DD6F83"/>
    <w:rsid w:val="00DD776E"/>
    <w:rsid w:val="00DE1019"/>
    <w:rsid w:val="00DE24B3"/>
    <w:rsid w:val="00DE6EE4"/>
    <w:rsid w:val="00DE7BCA"/>
    <w:rsid w:val="00DF0125"/>
    <w:rsid w:val="00DF14DA"/>
    <w:rsid w:val="00DF1602"/>
    <w:rsid w:val="00DF1797"/>
    <w:rsid w:val="00DF1D9F"/>
    <w:rsid w:val="00DF2126"/>
    <w:rsid w:val="00DF21B9"/>
    <w:rsid w:val="00DF22A0"/>
    <w:rsid w:val="00DF314C"/>
    <w:rsid w:val="00DF5554"/>
    <w:rsid w:val="00DF5993"/>
    <w:rsid w:val="00DF5F8F"/>
    <w:rsid w:val="00E0061E"/>
    <w:rsid w:val="00E00846"/>
    <w:rsid w:val="00E03640"/>
    <w:rsid w:val="00E05B44"/>
    <w:rsid w:val="00E109CA"/>
    <w:rsid w:val="00E12B34"/>
    <w:rsid w:val="00E1300B"/>
    <w:rsid w:val="00E13454"/>
    <w:rsid w:val="00E14BA7"/>
    <w:rsid w:val="00E16B70"/>
    <w:rsid w:val="00E16DDA"/>
    <w:rsid w:val="00E21B57"/>
    <w:rsid w:val="00E26B6A"/>
    <w:rsid w:val="00E27522"/>
    <w:rsid w:val="00E3073A"/>
    <w:rsid w:val="00E3132E"/>
    <w:rsid w:val="00E31FCC"/>
    <w:rsid w:val="00E32E59"/>
    <w:rsid w:val="00E353BA"/>
    <w:rsid w:val="00E362ED"/>
    <w:rsid w:val="00E372B9"/>
    <w:rsid w:val="00E375D5"/>
    <w:rsid w:val="00E406C3"/>
    <w:rsid w:val="00E40944"/>
    <w:rsid w:val="00E435CC"/>
    <w:rsid w:val="00E468E8"/>
    <w:rsid w:val="00E47A68"/>
    <w:rsid w:val="00E53948"/>
    <w:rsid w:val="00E54F9E"/>
    <w:rsid w:val="00E5522B"/>
    <w:rsid w:val="00E56094"/>
    <w:rsid w:val="00E56F0F"/>
    <w:rsid w:val="00E57AB5"/>
    <w:rsid w:val="00E61432"/>
    <w:rsid w:val="00E626D3"/>
    <w:rsid w:val="00E6733B"/>
    <w:rsid w:val="00E70A92"/>
    <w:rsid w:val="00E73972"/>
    <w:rsid w:val="00E77276"/>
    <w:rsid w:val="00E80578"/>
    <w:rsid w:val="00E83133"/>
    <w:rsid w:val="00E842B7"/>
    <w:rsid w:val="00E85F43"/>
    <w:rsid w:val="00E9258B"/>
    <w:rsid w:val="00E932D5"/>
    <w:rsid w:val="00E9349E"/>
    <w:rsid w:val="00E93A8C"/>
    <w:rsid w:val="00E941A4"/>
    <w:rsid w:val="00E9753C"/>
    <w:rsid w:val="00EA00B2"/>
    <w:rsid w:val="00EA0CA7"/>
    <w:rsid w:val="00EB0CB0"/>
    <w:rsid w:val="00EB4E43"/>
    <w:rsid w:val="00EB5000"/>
    <w:rsid w:val="00EB6925"/>
    <w:rsid w:val="00EB7787"/>
    <w:rsid w:val="00EB7E7C"/>
    <w:rsid w:val="00EB7FCE"/>
    <w:rsid w:val="00EC31E2"/>
    <w:rsid w:val="00EC3B07"/>
    <w:rsid w:val="00EC43BD"/>
    <w:rsid w:val="00EC4435"/>
    <w:rsid w:val="00EC4E74"/>
    <w:rsid w:val="00EC6830"/>
    <w:rsid w:val="00ED0AA5"/>
    <w:rsid w:val="00ED1C45"/>
    <w:rsid w:val="00ED2776"/>
    <w:rsid w:val="00ED3952"/>
    <w:rsid w:val="00ED672E"/>
    <w:rsid w:val="00ED7900"/>
    <w:rsid w:val="00EE0528"/>
    <w:rsid w:val="00EE0AC9"/>
    <w:rsid w:val="00EE25B5"/>
    <w:rsid w:val="00EE438B"/>
    <w:rsid w:val="00EE4A91"/>
    <w:rsid w:val="00EE5E22"/>
    <w:rsid w:val="00EE6800"/>
    <w:rsid w:val="00EE6C0D"/>
    <w:rsid w:val="00EE7914"/>
    <w:rsid w:val="00EF06D5"/>
    <w:rsid w:val="00EF5F3F"/>
    <w:rsid w:val="00EF79B6"/>
    <w:rsid w:val="00F02C10"/>
    <w:rsid w:val="00F03127"/>
    <w:rsid w:val="00F0348F"/>
    <w:rsid w:val="00F0391C"/>
    <w:rsid w:val="00F03B86"/>
    <w:rsid w:val="00F0609D"/>
    <w:rsid w:val="00F068AF"/>
    <w:rsid w:val="00F06E51"/>
    <w:rsid w:val="00F06E53"/>
    <w:rsid w:val="00F078A4"/>
    <w:rsid w:val="00F078F8"/>
    <w:rsid w:val="00F11B0D"/>
    <w:rsid w:val="00F11F5B"/>
    <w:rsid w:val="00F120CC"/>
    <w:rsid w:val="00F16DEB"/>
    <w:rsid w:val="00F20FAF"/>
    <w:rsid w:val="00F220B4"/>
    <w:rsid w:val="00F224E2"/>
    <w:rsid w:val="00F26F60"/>
    <w:rsid w:val="00F32B7A"/>
    <w:rsid w:val="00F336DA"/>
    <w:rsid w:val="00F350A6"/>
    <w:rsid w:val="00F35ABB"/>
    <w:rsid w:val="00F35DAC"/>
    <w:rsid w:val="00F37ECF"/>
    <w:rsid w:val="00F40526"/>
    <w:rsid w:val="00F40D33"/>
    <w:rsid w:val="00F40D58"/>
    <w:rsid w:val="00F436A2"/>
    <w:rsid w:val="00F43E04"/>
    <w:rsid w:val="00F47B8D"/>
    <w:rsid w:val="00F50581"/>
    <w:rsid w:val="00F512DA"/>
    <w:rsid w:val="00F54EDD"/>
    <w:rsid w:val="00F5505E"/>
    <w:rsid w:val="00F55BE0"/>
    <w:rsid w:val="00F56ADC"/>
    <w:rsid w:val="00F602B4"/>
    <w:rsid w:val="00F631FA"/>
    <w:rsid w:val="00F63286"/>
    <w:rsid w:val="00F649AA"/>
    <w:rsid w:val="00F64A05"/>
    <w:rsid w:val="00F65D23"/>
    <w:rsid w:val="00F673A3"/>
    <w:rsid w:val="00F70915"/>
    <w:rsid w:val="00F720DF"/>
    <w:rsid w:val="00F77D8E"/>
    <w:rsid w:val="00F8007F"/>
    <w:rsid w:val="00F80A5A"/>
    <w:rsid w:val="00F8299A"/>
    <w:rsid w:val="00F82A87"/>
    <w:rsid w:val="00F83C37"/>
    <w:rsid w:val="00F84326"/>
    <w:rsid w:val="00F84445"/>
    <w:rsid w:val="00F85A6D"/>
    <w:rsid w:val="00F85EF3"/>
    <w:rsid w:val="00F87291"/>
    <w:rsid w:val="00F905A7"/>
    <w:rsid w:val="00F9152B"/>
    <w:rsid w:val="00F92C89"/>
    <w:rsid w:val="00F931CA"/>
    <w:rsid w:val="00F946E7"/>
    <w:rsid w:val="00F9553A"/>
    <w:rsid w:val="00F9662D"/>
    <w:rsid w:val="00F97CA1"/>
    <w:rsid w:val="00FA1FBB"/>
    <w:rsid w:val="00FA369E"/>
    <w:rsid w:val="00FA70D6"/>
    <w:rsid w:val="00FA76DF"/>
    <w:rsid w:val="00FB38D9"/>
    <w:rsid w:val="00FB3C0A"/>
    <w:rsid w:val="00FB53A9"/>
    <w:rsid w:val="00FB5701"/>
    <w:rsid w:val="00FB5A8E"/>
    <w:rsid w:val="00FB5DE8"/>
    <w:rsid w:val="00FB669D"/>
    <w:rsid w:val="00FB72CC"/>
    <w:rsid w:val="00FB782D"/>
    <w:rsid w:val="00FC18DF"/>
    <w:rsid w:val="00FC2578"/>
    <w:rsid w:val="00FC2B70"/>
    <w:rsid w:val="00FC32AE"/>
    <w:rsid w:val="00FC5222"/>
    <w:rsid w:val="00FC6250"/>
    <w:rsid w:val="00FD2229"/>
    <w:rsid w:val="00FD34FB"/>
    <w:rsid w:val="00FD35E9"/>
    <w:rsid w:val="00FD5AD7"/>
    <w:rsid w:val="00FE18F5"/>
    <w:rsid w:val="00FE1CCA"/>
    <w:rsid w:val="00FE7F8A"/>
    <w:rsid w:val="00FF4F93"/>
    <w:rsid w:val="00FF7131"/>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E4D9D-6F99-4239-8767-CD905BEFC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customStyle="1" w:styleId="bullet-list-1">
    <w:name w:val="bullet-list-1"/>
    <w:basedOn w:val="Normal"/>
    <w:rsid w:val="007C22AC"/>
    <w:pPr>
      <w:spacing w:before="100"/>
      <w:ind w:left="346" w:right="130" w:hanging="202"/>
      <w:jc w:val="both"/>
    </w:pPr>
    <w:rPr>
      <w:rFonts w:ascii="Verdana" w:hAnsi="Verdana" w:cs="Arial"/>
      <w:sz w:val="16"/>
      <w:szCs w:val="16"/>
    </w:rPr>
  </w:style>
  <w:style w:type="paragraph" w:styleId="EndnoteText">
    <w:name w:val="endnote text"/>
    <w:basedOn w:val="Normal"/>
    <w:link w:val="EndnoteTextChar"/>
    <w:rsid w:val="00730C09"/>
  </w:style>
  <w:style w:type="character" w:customStyle="1" w:styleId="EndnoteTextChar">
    <w:name w:val="Endnote Text Char"/>
    <w:basedOn w:val="DefaultParagraphFont"/>
    <w:link w:val="EndnoteText"/>
    <w:rsid w:val="00730C09"/>
  </w:style>
  <w:style w:type="character" w:styleId="EndnoteReference">
    <w:name w:val="endnote reference"/>
    <w:rsid w:val="00730C09"/>
    <w:rPr>
      <w:vertAlign w:val="superscript"/>
    </w:rPr>
  </w:style>
  <w:style w:type="table" w:styleId="TableGrid">
    <w:name w:val="Table Grid"/>
    <w:basedOn w:val="TableNormal"/>
    <w:uiPriority w:val="59"/>
    <w:rsid w:val="003547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D01075"/>
    <w:rPr>
      <w:rFonts w:ascii="Arial" w:hAnsi="Arial"/>
      <w:b/>
      <w:kern w:val="2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57958">
      <w:bodyDiv w:val="1"/>
      <w:marLeft w:val="0"/>
      <w:marRight w:val="0"/>
      <w:marTop w:val="0"/>
      <w:marBottom w:val="0"/>
      <w:divBdr>
        <w:top w:val="none" w:sz="0" w:space="0" w:color="auto"/>
        <w:left w:val="none" w:sz="0" w:space="0" w:color="auto"/>
        <w:bottom w:val="none" w:sz="0" w:space="0" w:color="auto"/>
        <w:right w:val="none" w:sz="0" w:space="0" w:color="auto"/>
      </w:divBdr>
    </w:div>
    <w:div w:id="18868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global3000.co.uk/g36/ZG60_000152_SETUP.zip" TargetMode="External"/><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D20BB-D3F5-4D5C-99AC-1F7EF8CB5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689</TotalTime>
  <Pages>7</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8512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GL Financial Reporting - Formatted Spreadsheets</dc:subject>
  <dc:creator>DCP</dc:creator>
  <cp:keywords>1.0</cp:keywords>
  <dc:description>This service pack provides the ability to export GL financial reports as formatted Microsoft Excel spreadsheets. In addition a number of reports can be grouped together in a 'report pack' and then printed/exported together.</dc:description>
  <cp:lastModifiedBy>Penfold, Dan</cp:lastModifiedBy>
  <cp:revision>58</cp:revision>
  <cp:lastPrinted>2002-03-05T14:24:00Z</cp:lastPrinted>
  <dcterms:created xsi:type="dcterms:W3CDTF">2015-04-07T12:27:00Z</dcterms:created>
  <dcterms:modified xsi:type="dcterms:W3CDTF">2015-04-15T08:34:00Z</dcterms:modified>
</cp:coreProperties>
</file>