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2B7" w:rsidRPr="008E645B" w:rsidRDefault="006A586C">
      <w:pPr>
        <w:pStyle w:val="Titl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27pt;margin-top:-15.05pt;width:74.25pt;height:87pt;z-index:1" o:allowincell="f">
            <v:imagedata r:id="rId9" o:title="image003"/>
            <w10:wrap type="topAndBottom"/>
          </v:shape>
        </w:pict>
      </w:r>
    </w:p>
    <w:p w:rsidR="00E842B7" w:rsidRPr="008E645B" w:rsidRDefault="00E842B7">
      <w:pPr>
        <w:pStyle w:val="Title"/>
      </w:pPr>
    </w:p>
    <w:p w:rsidR="00E842B7" w:rsidRPr="008E645B" w:rsidRDefault="00E842B7"/>
    <w:p w:rsidR="00E842B7" w:rsidRPr="008E645B" w:rsidRDefault="00E842B7"/>
    <w:p w:rsidR="00E842B7" w:rsidRPr="008E645B" w:rsidRDefault="00E842B7"/>
    <w:p w:rsidR="00E842B7" w:rsidRPr="008E645B" w:rsidRDefault="00E842B7">
      <w:pPr>
        <w:pStyle w:val="Title"/>
      </w:pPr>
      <w:r w:rsidRPr="008E645B">
        <w:t>Global 3000</w:t>
      </w:r>
    </w:p>
    <w:p w:rsidR="00E842B7" w:rsidRPr="008E645B" w:rsidRDefault="002402ED">
      <w:pPr>
        <w:pStyle w:val="Title"/>
      </w:pPr>
      <w:r>
        <w:t>Service Pack Note</w:t>
      </w:r>
    </w:p>
    <w:p w:rsidR="00E842B7" w:rsidRPr="008E645B" w:rsidRDefault="00E842B7"/>
    <w:p w:rsidR="00E842B7" w:rsidRPr="008E645B" w:rsidRDefault="00E842B7"/>
    <w:p w:rsidR="00E842B7" w:rsidRPr="008E645B" w:rsidRDefault="006A586C">
      <w:pPr>
        <w:pStyle w:val="Title"/>
      </w:pPr>
      <w:r>
        <w:fldChar w:fldCharType="begin"/>
      </w:r>
      <w:r>
        <w:instrText xml:space="preserve"> SUBJECT  \* MERGEFORMAT </w:instrText>
      </w:r>
      <w:r>
        <w:fldChar w:fldCharType="separate"/>
      </w:r>
      <w:r w:rsidR="0090660F">
        <w:t>Prompt Payment (Settlement) Discount - VAT Calculation</w:t>
      </w:r>
      <w:r>
        <w:fldChar w:fldCharType="end"/>
      </w:r>
      <w:r w:rsidR="00B92A4F">
        <w:t xml:space="preserve"> </w:t>
      </w:r>
    </w:p>
    <w:p w:rsidR="00E842B7" w:rsidRPr="008E645B" w:rsidRDefault="00E842B7"/>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2B77AA" w:rsidRPr="008E645B" w:rsidRDefault="002B77AA">
      <w:pPr>
        <w:rPr>
          <w:rFonts w:ascii="Arial" w:hAnsi="Arial"/>
          <w:b/>
          <w:sz w:val="22"/>
        </w:rPr>
      </w:pPr>
    </w:p>
    <w:p w:rsidR="00E842B7" w:rsidRPr="008E645B" w:rsidRDefault="00E842B7">
      <w:pPr>
        <w:rPr>
          <w:rFonts w:ascii="Arial" w:hAnsi="Arial"/>
          <w:b/>
          <w:sz w:val="22"/>
        </w:rPr>
      </w:pPr>
    </w:p>
    <w:p w:rsidR="00E842B7" w:rsidRDefault="00E842B7">
      <w:pPr>
        <w:rPr>
          <w:rFonts w:ascii="Arial" w:hAnsi="Arial"/>
          <w:b/>
          <w:sz w:val="22"/>
        </w:rPr>
      </w:pPr>
    </w:p>
    <w:p w:rsidR="003135AC" w:rsidRDefault="003135AC">
      <w:pPr>
        <w:rPr>
          <w:rFonts w:ascii="Arial" w:hAnsi="Arial"/>
          <w:b/>
          <w:sz w:val="22"/>
        </w:rPr>
      </w:pPr>
    </w:p>
    <w:p w:rsidR="006854C0" w:rsidRDefault="006854C0">
      <w:pPr>
        <w:rPr>
          <w:rFonts w:ascii="Arial" w:hAnsi="Arial"/>
          <w:b/>
          <w:sz w:val="22"/>
        </w:rPr>
      </w:pPr>
    </w:p>
    <w:p w:rsidR="006854C0" w:rsidRDefault="006854C0">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3135AC" w:rsidRPr="008E645B" w:rsidRDefault="003135AC">
      <w:pPr>
        <w:rPr>
          <w:rFonts w:ascii="Arial" w:hAnsi="Arial"/>
          <w:b/>
          <w:sz w:val="22"/>
        </w:rPr>
      </w:pPr>
    </w:p>
    <w:p w:rsidR="00DF22A0" w:rsidRDefault="00DF22A0">
      <w:pPr>
        <w:rPr>
          <w:rFonts w:ascii="Arial" w:hAnsi="Arial"/>
          <w:b/>
          <w:sz w:val="22"/>
        </w:rPr>
      </w:pPr>
    </w:p>
    <w:p w:rsidR="00E842B7" w:rsidRDefault="00E842B7" w:rsidP="0036103A">
      <w:pPr>
        <w:rPr>
          <w:rFonts w:ascii="Arial" w:hAnsi="Arial"/>
          <w:b/>
          <w:sz w:val="22"/>
        </w:rPr>
      </w:pPr>
      <w:r w:rsidRPr="008E645B">
        <w:rPr>
          <w:rFonts w:ascii="Arial" w:hAnsi="Arial"/>
          <w:b/>
          <w:sz w:val="22"/>
        </w:rPr>
        <w:lastRenderedPageBreak/>
        <w:t>INTRODUCTION</w:t>
      </w:r>
    </w:p>
    <w:p w:rsidR="00603094" w:rsidRDefault="00E842B7">
      <w:pPr>
        <w:tabs>
          <w:tab w:val="left" w:pos="3600"/>
        </w:tabs>
        <w:jc w:val="both"/>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90660F">
        <w:rPr>
          <w:rFonts w:ascii="CG Omega" w:hAnsi="CG Omega"/>
          <w:sz w:val="24"/>
        </w:rPr>
        <w:t xml:space="preserve">This service pack updates Debtors Ledger, Creditors Ledger and SOP to correctly account for VAT on transactions where prompt payment discount is offered. </w:t>
      </w:r>
      <w:r w:rsidRPr="008E645B">
        <w:rPr>
          <w:rFonts w:ascii="CG Omega" w:hAnsi="CG Omega"/>
          <w:sz w:val="24"/>
        </w:rPr>
        <w:fldChar w:fldCharType="end"/>
      </w:r>
      <w:r w:rsidR="0090660F" w:rsidRPr="0090660F">
        <w:t xml:space="preserve"> </w:t>
      </w:r>
    </w:p>
    <w:p w:rsidR="00603094" w:rsidRDefault="00603094">
      <w:pPr>
        <w:tabs>
          <w:tab w:val="left" w:pos="3600"/>
        </w:tabs>
        <w:jc w:val="both"/>
      </w:pPr>
    </w:p>
    <w:p w:rsidR="00B714B7" w:rsidRDefault="00B714B7">
      <w:pPr>
        <w:tabs>
          <w:tab w:val="left" w:pos="3600"/>
        </w:tabs>
        <w:jc w:val="both"/>
      </w:pPr>
    </w:p>
    <w:p w:rsidR="00E842B7" w:rsidRDefault="0090660F" w:rsidP="00B714B7">
      <w:pPr>
        <w:tabs>
          <w:tab w:val="left" w:pos="3600"/>
        </w:tabs>
        <w:jc w:val="both"/>
        <w:rPr>
          <w:rFonts w:ascii="CG Omega" w:hAnsi="CG Omega"/>
          <w:b/>
          <w:bCs/>
          <w:sz w:val="24"/>
          <w:szCs w:val="24"/>
        </w:rPr>
      </w:pPr>
      <w:r w:rsidRPr="00603094">
        <w:rPr>
          <w:rFonts w:ascii="CG Omega" w:hAnsi="CG Omega"/>
          <w:b/>
          <w:sz w:val="24"/>
        </w:rPr>
        <w:t xml:space="preserve">The </w:t>
      </w:r>
      <w:r w:rsidR="00603094" w:rsidRPr="00603094">
        <w:rPr>
          <w:rFonts w:ascii="CG Omega" w:hAnsi="CG Omega"/>
          <w:b/>
          <w:sz w:val="24"/>
        </w:rPr>
        <w:t xml:space="preserve">following </w:t>
      </w:r>
      <w:r w:rsidRPr="00603094">
        <w:rPr>
          <w:rFonts w:ascii="CG Omega" w:hAnsi="CG Omega"/>
          <w:b/>
          <w:sz w:val="24"/>
        </w:rPr>
        <w:t xml:space="preserve">changes only apply to Global 3000 V6.0. Neither Global 3000 V5.0 nor Global 2000 have been modified to correctly account for VAT on transactions where prompt payment discount is offered. </w:t>
      </w:r>
      <w:r w:rsidR="00B714B7">
        <w:rPr>
          <w:rFonts w:ascii="CG Omega" w:hAnsi="CG Omega"/>
          <w:b/>
          <w:bCs/>
          <w:sz w:val="24"/>
          <w:szCs w:val="24"/>
        </w:rPr>
        <w:t xml:space="preserve">Any customer using V5.0 or Global 2000 who offers prompt payment discount should either make manual adjustments to ensure the correct VAT is reported and accounted for </w:t>
      </w:r>
      <w:r w:rsidR="00B714B7" w:rsidRPr="00B714B7">
        <w:rPr>
          <w:rFonts w:ascii="CG Omega" w:hAnsi="CG Omega"/>
          <w:b/>
          <w:bCs/>
          <w:sz w:val="24"/>
          <w:szCs w:val="24"/>
        </w:rPr>
        <w:t>correctly,</w:t>
      </w:r>
      <w:r w:rsidR="00B714B7">
        <w:rPr>
          <w:rFonts w:ascii="CG Omega" w:hAnsi="CG Omega"/>
          <w:b/>
          <w:bCs/>
          <w:color w:val="FF0000"/>
          <w:sz w:val="24"/>
          <w:szCs w:val="24"/>
        </w:rPr>
        <w:t xml:space="preserve"> </w:t>
      </w:r>
      <w:r w:rsidR="00B714B7">
        <w:rPr>
          <w:rFonts w:ascii="CG Omega" w:hAnsi="CG Omega"/>
          <w:b/>
          <w:bCs/>
          <w:sz w:val="24"/>
          <w:szCs w:val="24"/>
        </w:rPr>
        <w:t>or upgrade to Global 3000 V6.0.</w:t>
      </w:r>
    </w:p>
    <w:p w:rsidR="00B714B7" w:rsidRDefault="00B714B7" w:rsidP="00B714B7">
      <w:pPr>
        <w:tabs>
          <w:tab w:val="left" w:pos="3600"/>
        </w:tabs>
        <w:jc w:val="both"/>
      </w:pPr>
    </w:p>
    <w:p w:rsidR="00B714B7" w:rsidRPr="008E645B" w:rsidRDefault="00B714B7" w:rsidP="00B714B7">
      <w:pPr>
        <w:tabs>
          <w:tab w:val="left" w:pos="3600"/>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FB38D9" w:rsidRPr="008E645B">
        <w:trPr>
          <w:trHeight w:val="240"/>
        </w:trPr>
        <w:tc>
          <w:tcPr>
            <w:tcW w:w="10173" w:type="dxa"/>
          </w:tcPr>
          <w:p w:rsidR="00B714B7" w:rsidRDefault="00B714B7" w:rsidP="00F0734D">
            <w:pPr>
              <w:pStyle w:val="BodyText"/>
              <w:rPr>
                <w:rFonts w:ascii="CG Omega" w:hAnsi="CG Omega"/>
                <w:sz w:val="24"/>
                <w:szCs w:val="24"/>
              </w:rPr>
            </w:pPr>
          </w:p>
          <w:p w:rsidR="00FB38D9" w:rsidRPr="00F0734D" w:rsidRDefault="00243539" w:rsidP="00F0734D">
            <w:pPr>
              <w:pStyle w:val="BodyText"/>
              <w:rPr>
                <w:rFonts w:ascii="CG Omega" w:hAnsi="CG Omega"/>
                <w:sz w:val="24"/>
                <w:szCs w:val="24"/>
              </w:rPr>
            </w:pPr>
            <w:bookmarkStart w:id="0" w:name="_GoBack"/>
            <w:bookmarkEnd w:id="0"/>
            <w:r w:rsidRPr="00F0734D">
              <w:rPr>
                <w:rFonts w:ascii="CG Omega" w:hAnsi="CG Omega"/>
                <w:sz w:val="24"/>
                <w:szCs w:val="24"/>
              </w:rPr>
              <w:t xml:space="preserve">HMRC state </w:t>
            </w:r>
            <w:r w:rsidR="00F0734D" w:rsidRPr="00F0734D">
              <w:rPr>
                <w:rFonts w:ascii="CG Omega" w:hAnsi="CG Omega"/>
                <w:sz w:val="24"/>
                <w:szCs w:val="24"/>
              </w:rPr>
              <w:t>(within the Budget 2014 documentation) the following:</w:t>
            </w:r>
          </w:p>
          <w:p w:rsidR="00F0734D" w:rsidRDefault="00F0734D" w:rsidP="00F0734D">
            <w:pPr>
              <w:pStyle w:val="BodyText"/>
              <w:rPr>
                <w:rFonts w:ascii="CG Omega" w:hAnsi="CG Omega"/>
                <w:sz w:val="24"/>
                <w:szCs w:val="24"/>
              </w:rPr>
            </w:pPr>
            <w:r w:rsidRPr="00F0734D">
              <w:rPr>
                <w:rFonts w:ascii="CG Omega" w:hAnsi="CG Omega"/>
                <w:sz w:val="24"/>
                <w:szCs w:val="24"/>
              </w:rPr>
              <w:t xml:space="preserve">Legislation </w:t>
            </w:r>
            <w:r w:rsidR="00244CCC">
              <w:rPr>
                <w:rFonts w:ascii="CG Omega" w:hAnsi="CG Omega"/>
                <w:sz w:val="24"/>
                <w:szCs w:val="24"/>
              </w:rPr>
              <w:t xml:space="preserve">was </w:t>
            </w:r>
            <w:r w:rsidRPr="00F0734D">
              <w:rPr>
                <w:rFonts w:ascii="CG Omega" w:hAnsi="CG Omega"/>
                <w:sz w:val="24"/>
                <w:szCs w:val="24"/>
              </w:rPr>
              <w:t>introduced in Finance Bill 2014 to amend UK VAT legislation on prompt payment discounts. Until now HMRC has interpreted UK legislation to allow suppliers to account for VAT on the discounted price offered for prompt payment even when that discount is not taken up. The change will ensure that UK and EU law are clearly aligned and that VAT is accounted for on the full consideration paid for goods and services where prompt payment discounts are offered. For supplies of telecommunication and broadcasting services where there is no obligation to provide a VAT invoice the change takes effect from 1 May 2014. For all other supplies the change will come into effect on 1 April 2015. A consultation will be carried out on implementation prior to the commencement of the main change in April 2015.</w:t>
            </w:r>
          </w:p>
          <w:p w:rsidR="007527E0" w:rsidRDefault="007527E0" w:rsidP="007527E0">
            <w:pPr>
              <w:rPr>
                <w:rFonts w:ascii="CG Omega" w:hAnsi="CG Omega"/>
                <w:sz w:val="24"/>
                <w:szCs w:val="24"/>
              </w:rPr>
            </w:pPr>
            <w:r>
              <w:rPr>
                <w:rFonts w:ascii="CG Omega" w:hAnsi="CG Omega"/>
                <w:sz w:val="24"/>
                <w:szCs w:val="24"/>
              </w:rPr>
              <w:t>Further information is available in document:</w:t>
            </w:r>
          </w:p>
          <w:p w:rsidR="007527E0" w:rsidRDefault="007527E0" w:rsidP="007527E0">
            <w:pPr>
              <w:rPr>
                <w:rStyle w:val="Hyperlink"/>
              </w:rPr>
            </w:pPr>
            <w:r>
              <w:rPr>
                <w:rFonts w:ascii="CG Omega" w:hAnsi="CG Omega"/>
                <w:sz w:val="24"/>
                <w:szCs w:val="24"/>
              </w:rPr>
              <w:t xml:space="preserve"> </w:t>
            </w:r>
            <w:hyperlink r:id="rId10" w:history="1">
              <w:r w:rsidRPr="00A564FA">
                <w:rPr>
                  <w:rStyle w:val="Hyperlink"/>
                </w:rPr>
                <w:t>https://www.gov.uk/government/uploads/system/uploads/attachment_data/file/293888/TIIN_9022_VAT_prompt_payment_discounts_.pdf</w:t>
              </w:r>
            </w:hyperlink>
          </w:p>
          <w:p w:rsidR="00B714B7" w:rsidRPr="007527E0" w:rsidRDefault="00B714B7" w:rsidP="007527E0"/>
        </w:tc>
      </w:tr>
      <w:tr w:rsidR="00F0734D" w:rsidRPr="008E645B">
        <w:trPr>
          <w:trHeight w:val="240"/>
        </w:trPr>
        <w:tc>
          <w:tcPr>
            <w:tcW w:w="10173" w:type="dxa"/>
          </w:tcPr>
          <w:p w:rsidR="00B714B7" w:rsidRDefault="00B714B7" w:rsidP="00F0734D">
            <w:pPr>
              <w:pStyle w:val="BodyText"/>
              <w:rPr>
                <w:rFonts w:ascii="CG Omega" w:hAnsi="CG Omega"/>
                <w:sz w:val="24"/>
                <w:szCs w:val="24"/>
              </w:rPr>
            </w:pPr>
          </w:p>
          <w:p w:rsidR="00F0734D" w:rsidRPr="00B52BA5" w:rsidRDefault="00F0734D" w:rsidP="00F0734D">
            <w:pPr>
              <w:pStyle w:val="BodyText"/>
              <w:rPr>
                <w:rFonts w:ascii="CG Omega" w:hAnsi="CG Omega"/>
                <w:sz w:val="24"/>
                <w:szCs w:val="24"/>
              </w:rPr>
            </w:pPr>
            <w:r w:rsidRPr="00B52BA5">
              <w:rPr>
                <w:rFonts w:ascii="CG Omega" w:hAnsi="CG Omega"/>
                <w:sz w:val="24"/>
                <w:szCs w:val="24"/>
              </w:rPr>
              <w:t xml:space="preserve">For example: Assuming a tax rate of 20% and a discount offered of </w:t>
            </w:r>
            <w:r w:rsidR="0033249C">
              <w:rPr>
                <w:rFonts w:ascii="CG Omega" w:hAnsi="CG Omega"/>
                <w:sz w:val="24"/>
                <w:szCs w:val="24"/>
              </w:rPr>
              <w:t>1</w:t>
            </w:r>
            <w:r w:rsidRPr="00B52BA5">
              <w:rPr>
                <w:rFonts w:ascii="CG Omega" w:hAnsi="CG Omega"/>
                <w:sz w:val="24"/>
                <w:szCs w:val="24"/>
              </w:rPr>
              <w:t>0%.</w:t>
            </w:r>
          </w:p>
          <w:p w:rsidR="00B52BA5" w:rsidRDefault="00B52BA5" w:rsidP="00F0734D">
            <w:pPr>
              <w:rPr>
                <w:rFonts w:ascii="CG Omega" w:hAnsi="CG Omega"/>
                <w:b/>
                <w:sz w:val="24"/>
                <w:szCs w:val="24"/>
              </w:rPr>
            </w:pPr>
          </w:p>
          <w:p w:rsidR="00F0734D" w:rsidRPr="00B52BA5" w:rsidRDefault="00F0734D" w:rsidP="00F0734D">
            <w:pPr>
              <w:rPr>
                <w:rFonts w:ascii="CG Omega" w:hAnsi="CG Omega"/>
                <w:b/>
                <w:sz w:val="24"/>
                <w:szCs w:val="24"/>
              </w:rPr>
            </w:pPr>
            <w:r w:rsidRPr="00B52BA5">
              <w:rPr>
                <w:rFonts w:ascii="CG Omega" w:hAnsi="CG Omega"/>
                <w:b/>
                <w:sz w:val="24"/>
                <w:szCs w:val="24"/>
              </w:rPr>
              <w:t>Prior to April 2015 the way in which tax is calculated when settlement disco</w:t>
            </w:r>
            <w:r w:rsidR="00B52BA5" w:rsidRPr="00B52BA5">
              <w:rPr>
                <w:rFonts w:ascii="CG Omega" w:hAnsi="CG Omega"/>
                <w:b/>
                <w:sz w:val="24"/>
                <w:szCs w:val="24"/>
              </w:rPr>
              <w:t>unt is offered works as follows:</w:t>
            </w:r>
          </w:p>
          <w:p w:rsidR="00F0734D" w:rsidRPr="00B52BA5" w:rsidRDefault="00F0734D" w:rsidP="00F0734D">
            <w:pPr>
              <w:rPr>
                <w:rFonts w:ascii="CG Omega" w:hAnsi="CG Omega"/>
                <w:sz w:val="24"/>
                <w:szCs w:val="24"/>
              </w:rPr>
            </w:pPr>
          </w:p>
          <w:p w:rsidR="00F0734D" w:rsidRPr="00B52BA5" w:rsidRDefault="00F0734D" w:rsidP="00F0734D">
            <w:pPr>
              <w:rPr>
                <w:rFonts w:ascii="CG Omega" w:hAnsi="CG Omega"/>
                <w:sz w:val="22"/>
                <w:szCs w:val="22"/>
              </w:rPr>
            </w:pPr>
            <w:r w:rsidRPr="00B52BA5">
              <w:rPr>
                <w:rFonts w:ascii="CG Omega" w:hAnsi="CG Omega"/>
                <w:sz w:val="22"/>
                <w:szCs w:val="22"/>
              </w:rPr>
              <w:t>If the customer is offered settlement discount the tax is always calculated on the reduced net as follows:</w:t>
            </w:r>
          </w:p>
          <w:p w:rsidR="00B52BA5" w:rsidRPr="00B52BA5" w:rsidRDefault="00B52BA5" w:rsidP="00F0734D">
            <w:pPr>
              <w:ind w:firstLine="720"/>
              <w:rPr>
                <w:rFonts w:ascii="CG Omega" w:hAnsi="CG Omega"/>
                <w:sz w:val="22"/>
                <w:szCs w:val="22"/>
              </w:rPr>
            </w:pPr>
          </w:p>
          <w:p w:rsidR="00F0734D" w:rsidRPr="00B52BA5" w:rsidRDefault="00F0734D" w:rsidP="00F0734D">
            <w:pPr>
              <w:ind w:firstLine="720"/>
              <w:rPr>
                <w:rFonts w:ascii="CG Omega" w:hAnsi="CG Omega"/>
                <w:sz w:val="22"/>
                <w:szCs w:val="22"/>
              </w:rPr>
            </w:pPr>
            <w:r w:rsidRPr="00B52BA5">
              <w:rPr>
                <w:rFonts w:ascii="CG Omega" w:hAnsi="CG Omega"/>
                <w:sz w:val="22"/>
                <w:szCs w:val="22"/>
              </w:rPr>
              <w:t>Net: 100.00</w:t>
            </w:r>
            <w:r w:rsidRPr="00B52BA5">
              <w:rPr>
                <w:rFonts w:ascii="CG Omega" w:hAnsi="CG Omega"/>
                <w:sz w:val="22"/>
                <w:szCs w:val="22"/>
              </w:rPr>
              <w:tab/>
              <w:t xml:space="preserve">Discount </w:t>
            </w:r>
            <w:r w:rsidR="0033249C">
              <w:rPr>
                <w:rFonts w:ascii="CG Omega" w:hAnsi="CG Omega"/>
                <w:sz w:val="22"/>
                <w:szCs w:val="22"/>
              </w:rPr>
              <w:t>10.00</w:t>
            </w:r>
            <w:r w:rsidR="0033249C">
              <w:rPr>
                <w:rFonts w:ascii="CG Omega" w:hAnsi="CG Omega"/>
                <w:sz w:val="22"/>
                <w:szCs w:val="22"/>
              </w:rPr>
              <w:tab/>
            </w:r>
            <w:r w:rsidR="0033249C">
              <w:rPr>
                <w:rFonts w:ascii="CG Omega" w:hAnsi="CG Omega"/>
                <w:sz w:val="22"/>
                <w:szCs w:val="22"/>
              </w:rPr>
              <w:tab/>
              <w:t>Tax: 18</w:t>
            </w:r>
            <w:r w:rsidRPr="00B52BA5">
              <w:rPr>
                <w:rFonts w:ascii="CG Omega" w:hAnsi="CG Omega"/>
                <w:sz w:val="22"/>
                <w:szCs w:val="22"/>
              </w:rPr>
              <w:t>.00 (100 -</w:t>
            </w:r>
            <w:r w:rsidR="0033249C">
              <w:rPr>
                <w:rFonts w:ascii="CG Omega" w:hAnsi="CG Omega"/>
                <w:sz w:val="22"/>
                <w:szCs w:val="22"/>
              </w:rPr>
              <w:t>10 * 20%)</w:t>
            </w:r>
            <w:r w:rsidR="0033249C">
              <w:rPr>
                <w:rFonts w:ascii="CG Omega" w:hAnsi="CG Omega"/>
                <w:sz w:val="22"/>
                <w:szCs w:val="22"/>
              </w:rPr>
              <w:tab/>
              <w:t>Gross:  118</w:t>
            </w:r>
            <w:r w:rsidRPr="00B52BA5">
              <w:rPr>
                <w:rFonts w:ascii="CG Omega" w:hAnsi="CG Omega"/>
                <w:sz w:val="22"/>
                <w:szCs w:val="22"/>
              </w:rPr>
              <w:t>.00</w:t>
            </w:r>
          </w:p>
          <w:p w:rsidR="00F0734D" w:rsidRPr="00B52BA5" w:rsidRDefault="00F0734D" w:rsidP="00F0734D">
            <w:pPr>
              <w:rPr>
                <w:rFonts w:ascii="CG Omega" w:hAnsi="CG Omega"/>
                <w:sz w:val="22"/>
                <w:szCs w:val="22"/>
              </w:rPr>
            </w:pPr>
          </w:p>
          <w:p w:rsidR="00F0734D" w:rsidRPr="00B52BA5" w:rsidRDefault="00F0734D" w:rsidP="00F0734D">
            <w:pPr>
              <w:rPr>
                <w:rFonts w:ascii="CG Omega" w:hAnsi="CG Omega"/>
                <w:sz w:val="22"/>
                <w:szCs w:val="22"/>
              </w:rPr>
            </w:pPr>
            <w:r w:rsidRPr="00B52BA5">
              <w:rPr>
                <w:rFonts w:ascii="CG Omega" w:hAnsi="CG Omega"/>
                <w:sz w:val="22"/>
                <w:szCs w:val="22"/>
              </w:rPr>
              <w:t xml:space="preserve">If the user takes the discount they will pay </w:t>
            </w:r>
            <w:r w:rsidR="0033249C">
              <w:rPr>
                <w:rFonts w:ascii="CG Omega" w:hAnsi="CG Omega"/>
                <w:sz w:val="22"/>
                <w:szCs w:val="22"/>
              </w:rPr>
              <w:t>108</w:t>
            </w:r>
            <w:r w:rsidRPr="00B52BA5">
              <w:rPr>
                <w:rFonts w:ascii="CG Omega" w:hAnsi="CG Omega"/>
                <w:sz w:val="22"/>
                <w:szCs w:val="22"/>
              </w:rPr>
              <w:t xml:space="preserve">.00 (100 – </w:t>
            </w:r>
            <w:r w:rsidR="0033249C">
              <w:rPr>
                <w:rFonts w:ascii="CG Omega" w:hAnsi="CG Omega"/>
                <w:sz w:val="22"/>
                <w:szCs w:val="22"/>
              </w:rPr>
              <w:t>10</w:t>
            </w:r>
            <w:r w:rsidRPr="00B52BA5">
              <w:rPr>
                <w:rFonts w:ascii="CG Omega" w:hAnsi="CG Omega"/>
                <w:sz w:val="22"/>
                <w:szCs w:val="22"/>
              </w:rPr>
              <w:t xml:space="preserve"> + 1</w:t>
            </w:r>
            <w:r w:rsidR="0033249C">
              <w:rPr>
                <w:rFonts w:ascii="CG Omega" w:hAnsi="CG Omega"/>
                <w:sz w:val="22"/>
                <w:szCs w:val="22"/>
              </w:rPr>
              <w:t>8</w:t>
            </w:r>
            <w:r w:rsidRPr="00B52BA5">
              <w:rPr>
                <w:rFonts w:ascii="CG Omega" w:hAnsi="CG Omega"/>
                <w:sz w:val="22"/>
                <w:szCs w:val="22"/>
              </w:rPr>
              <w:t>.00).</w:t>
            </w:r>
          </w:p>
          <w:p w:rsidR="00B52BA5" w:rsidRDefault="00B52BA5" w:rsidP="00F0734D">
            <w:pPr>
              <w:pStyle w:val="BodyText"/>
              <w:rPr>
                <w:rFonts w:ascii="CG Omega" w:hAnsi="CG Omega"/>
                <w:sz w:val="24"/>
                <w:szCs w:val="24"/>
              </w:rPr>
            </w:pPr>
          </w:p>
          <w:p w:rsidR="00F0734D" w:rsidRPr="00B52BA5" w:rsidRDefault="00F0734D" w:rsidP="00F0734D">
            <w:pPr>
              <w:pStyle w:val="BodyText"/>
              <w:rPr>
                <w:rFonts w:ascii="CG Omega" w:hAnsi="CG Omega"/>
                <w:sz w:val="22"/>
                <w:szCs w:val="22"/>
              </w:rPr>
            </w:pPr>
            <w:r w:rsidRPr="00B52BA5">
              <w:rPr>
                <w:rFonts w:ascii="CG Omega" w:hAnsi="CG Omega"/>
                <w:sz w:val="22"/>
                <w:szCs w:val="22"/>
              </w:rPr>
              <w:t xml:space="preserve">If the user does not take the discount they still pay the reduced amount of tax. In the past HMRC have been happy to allow the tax to be reduced because settlement discount was traditionally offered on business to business transactions and they would receive the full tax rate when the goods were sold on to a non-business customer.  </w:t>
            </w:r>
          </w:p>
          <w:p w:rsidR="00B52BA5" w:rsidRDefault="00B52BA5" w:rsidP="00B52BA5">
            <w:pPr>
              <w:rPr>
                <w:rFonts w:ascii="CG Omega" w:hAnsi="CG Omega"/>
                <w:sz w:val="24"/>
                <w:szCs w:val="24"/>
              </w:rPr>
            </w:pPr>
          </w:p>
          <w:p w:rsidR="00B714B7" w:rsidRDefault="00B714B7" w:rsidP="00B52BA5">
            <w:pPr>
              <w:rPr>
                <w:rFonts w:ascii="CG Omega" w:hAnsi="CG Omega"/>
                <w:sz w:val="24"/>
                <w:szCs w:val="24"/>
              </w:rPr>
            </w:pPr>
          </w:p>
          <w:p w:rsidR="00B714B7" w:rsidRDefault="00B714B7" w:rsidP="00B52BA5">
            <w:pPr>
              <w:rPr>
                <w:rFonts w:ascii="CG Omega" w:hAnsi="CG Omega"/>
                <w:sz w:val="24"/>
                <w:szCs w:val="24"/>
              </w:rPr>
            </w:pPr>
          </w:p>
          <w:p w:rsidR="00B52BA5" w:rsidRPr="00B52BA5" w:rsidRDefault="00B52BA5" w:rsidP="00B52BA5">
            <w:pPr>
              <w:rPr>
                <w:rFonts w:ascii="CG Omega" w:hAnsi="CG Omega"/>
                <w:b/>
                <w:sz w:val="24"/>
                <w:szCs w:val="24"/>
              </w:rPr>
            </w:pPr>
            <w:r w:rsidRPr="00B52BA5">
              <w:rPr>
                <w:rFonts w:ascii="CG Omega" w:hAnsi="CG Omega"/>
                <w:b/>
                <w:sz w:val="24"/>
                <w:szCs w:val="24"/>
              </w:rPr>
              <w:t>Under the new rules (</w:t>
            </w:r>
            <w:r w:rsidR="00603094">
              <w:rPr>
                <w:rFonts w:ascii="CG Omega" w:hAnsi="CG Omega"/>
                <w:b/>
                <w:sz w:val="24"/>
                <w:szCs w:val="24"/>
              </w:rPr>
              <w:t>from</w:t>
            </w:r>
            <w:r w:rsidRPr="00B52BA5">
              <w:rPr>
                <w:rFonts w:ascii="CG Omega" w:hAnsi="CG Omega"/>
                <w:b/>
                <w:sz w:val="24"/>
                <w:szCs w:val="24"/>
              </w:rPr>
              <w:t xml:space="preserve"> </w:t>
            </w:r>
            <w:r w:rsidR="00B11A5B">
              <w:rPr>
                <w:rFonts w:ascii="CG Omega" w:hAnsi="CG Omega"/>
                <w:b/>
                <w:sz w:val="24"/>
                <w:szCs w:val="24"/>
              </w:rPr>
              <w:t>1</w:t>
            </w:r>
            <w:r w:rsidR="00B11A5B" w:rsidRPr="00B11A5B">
              <w:rPr>
                <w:rFonts w:ascii="CG Omega" w:hAnsi="CG Omega"/>
                <w:b/>
                <w:sz w:val="24"/>
                <w:szCs w:val="24"/>
                <w:vertAlign w:val="superscript"/>
              </w:rPr>
              <w:t>st</w:t>
            </w:r>
            <w:r w:rsidR="00B11A5B">
              <w:rPr>
                <w:rFonts w:ascii="CG Omega" w:hAnsi="CG Omega"/>
                <w:b/>
                <w:sz w:val="24"/>
                <w:szCs w:val="24"/>
              </w:rPr>
              <w:t xml:space="preserve"> </w:t>
            </w:r>
            <w:r w:rsidRPr="00B52BA5">
              <w:rPr>
                <w:rFonts w:ascii="CG Omega" w:hAnsi="CG Omega"/>
                <w:b/>
                <w:sz w:val="24"/>
                <w:szCs w:val="24"/>
              </w:rPr>
              <w:t>April 2015):</w:t>
            </w:r>
          </w:p>
          <w:p w:rsidR="00B52BA5" w:rsidRPr="00B52BA5" w:rsidRDefault="00B52BA5" w:rsidP="00B52BA5">
            <w:pPr>
              <w:rPr>
                <w:rFonts w:ascii="CG Omega" w:hAnsi="CG Omega"/>
                <w:sz w:val="24"/>
                <w:szCs w:val="24"/>
              </w:rPr>
            </w:pPr>
          </w:p>
          <w:p w:rsidR="00B52BA5" w:rsidRPr="00B52BA5" w:rsidRDefault="00B52BA5" w:rsidP="00B52BA5">
            <w:pPr>
              <w:rPr>
                <w:rFonts w:ascii="CG Omega" w:hAnsi="CG Omega"/>
                <w:sz w:val="22"/>
                <w:szCs w:val="22"/>
              </w:rPr>
            </w:pPr>
            <w:r w:rsidRPr="00B52BA5">
              <w:rPr>
                <w:rFonts w:ascii="CG Omega" w:hAnsi="CG Omega"/>
                <w:sz w:val="22"/>
                <w:szCs w:val="22"/>
              </w:rPr>
              <w:t>The invoice is calculated as if there is no settlement discount:</w:t>
            </w:r>
          </w:p>
          <w:p w:rsidR="00B52BA5" w:rsidRDefault="00B52BA5" w:rsidP="00B52BA5">
            <w:pPr>
              <w:rPr>
                <w:rFonts w:ascii="CG Omega" w:hAnsi="CG Omega"/>
                <w:sz w:val="22"/>
                <w:szCs w:val="22"/>
              </w:rPr>
            </w:pPr>
          </w:p>
          <w:p w:rsidR="00B52BA5" w:rsidRPr="00B52BA5" w:rsidRDefault="00B52BA5" w:rsidP="00B52BA5">
            <w:pPr>
              <w:rPr>
                <w:rFonts w:ascii="CG Omega" w:hAnsi="CG Omega"/>
                <w:sz w:val="22"/>
                <w:szCs w:val="22"/>
              </w:rPr>
            </w:pPr>
            <w:r w:rsidRPr="00B52BA5">
              <w:rPr>
                <w:rFonts w:ascii="CG Omega" w:hAnsi="CG Omega"/>
                <w:sz w:val="22"/>
                <w:szCs w:val="22"/>
              </w:rPr>
              <w:tab/>
              <w:t>Net:  100.00</w:t>
            </w:r>
            <w:r w:rsidRPr="00B52BA5">
              <w:rPr>
                <w:rFonts w:ascii="CG Omega" w:hAnsi="CG Omega"/>
                <w:sz w:val="22"/>
                <w:szCs w:val="22"/>
              </w:rPr>
              <w:tab/>
              <w:t xml:space="preserve">Discount: </w:t>
            </w:r>
            <w:r w:rsidR="0033249C">
              <w:rPr>
                <w:rFonts w:ascii="CG Omega" w:hAnsi="CG Omega"/>
                <w:sz w:val="22"/>
                <w:szCs w:val="22"/>
              </w:rPr>
              <w:t>12</w:t>
            </w:r>
            <w:r w:rsidRPr="00B52BA5">
              <w:rPr>
                <w:rFonts w:ascii="CG Omega" w:hAnsi="CG Omega"/>
                <w:sz w:val="22"/>
                <w:szCs w:val="22"/>
              </w:rPr>
              <w:t>.00 (</w:t>
            </w:r>
            <w:r w:rsidR="0033249C">
              <w:rPr>
                <w:rFonts w:ascii="CG Omega" w:hAnsi="CG Omega"/>
                <w:sz w:val="22"/>
                <w:szCs w:val="22"/>
              </w:rPr>
              <w:t>10% of the gross)</w:t>
            </w:r>
            <w:r w:rsidRPr="00B52BA5">
              <w:rPr>
                <w:rFonts w:ascii="CG Omega" w:hAnsi="CG Omega"/>
                <w:sz w:val="22"/>
                <w:szCs w:val="22"/>
              </w:rPr>
              <w:tab/>
              <w:t>Tax: 20.00</w:t>
            </w:r>
            <w:r w:rsidRPr="00B52BA5">
              <w:rPr>
                <w:rFonts w:ascii="CG Omega" w:hAnsi="CG Omega"/>
                <w:sz w:val="22"/>
                <w:szCs w:val="22"/>
              </w:rPr>
              <w:tab/>
            </w:r>
            <w:r w:rsidRPr="00B52BA5">
              <w:rPr>
                <w:rFonts w:ascii="CG Omega" w:hAnsi="CG Omega"/>
                <w:sz w:val="22"/>
                <w:szCs w:val="22"/>
              </w:rPr>
              <w:tab/>
              <w:t>Gross: 120.00</w:t>
            </w:r>
          </w:p>
          <w:p w:rsidR="00B52BA5" w:rsidRPr="00B52BA5" w:rsidRDefault="00B52BA5" w:rsidP="00B52BA5">
            <w:pPr>
              <w:rPr>
                <w:rFonts w:ascii="CG Omega" w:hAnsi="CG Omega"/>
                <w:sz w:val="22"/>
                <w:szCs w:val="22"/>
              </w:rPr>
            </w:pPr>
          </w:p>
          <w:p w:rsidR="00B52BA5" w:rsidRPr="00B52BA5" w:rsidRDefault="00B52BA5" w:rsidP="00B52BA5">
            <w:pPr>
              <w:rPr>
                <w:rFonts w:ascii="CG Omega" w:hAnsi="CG Omega"/>
                <w:sz w:val="22"/>
                <w:szCs w:val="22"/>
              </w:rPr>
            </w:pPr>
            <w:r w:rsidRPr="00B52BA5">
              <w:rPr>
                <w:rFonts w:ascii="CG Omega" w:hAnsi="CG Omega"/>
                <w:sz w:val="22"/>
                <w:szCs w:val="22"/>
              </w:rPr>
              <w:t>When the customer pays and takes the discount they pay.</w:t>
            </w:r>
          </w:p>
          <w:p w:rsidR="00B52BA5" w:rsidRDefault="00B52BA5" w:rsidP="00B52BA5">
            <w:pPr>
              <w:rPr>
                <w:rFonts w:ascii="CG Omega" w:hAnsi="CG Omega"/>
                <w:sz w:val="22"/>
                <w:szCs w:val="22"/>
              </w:rPr>
            </w:pPr>
          </w:p>
          <w:p w:rsidR="00B52BA5" w:rsidRPr="00B52BA5" w:rsidRDefault="0033249C" w:rsidP="00B52BA5">
            <w:pPr>
              <w:rPr>
                <w:rFonts w:ascii="CG Omega" w:hAnsi="CG Omega"/>
                <w:sz w:val="22"/>
                <w:szCs w:val="22"/>
              </w:rPr>
            </w:pPr>
            <w:r>
              <w:rPr>
                <w:rFonts w:ascii="CG Omega" w:hAnsi="CG Omega"/>
                <w:sz w:val="22"/>
                <w:szCs w:val="22"/>
              </w:rPr>
              <w:tab/>
              <w:t>Net: 88.00</w:t>
            </w:r>
            <w:r>
              <w:rPr>
                <w:rFonts w:ascii="CG Omega" w:hAnsi="CG Omega"/>
                <w:sz w:val="22"/>
                <w:szCs w:val="22"/>
              </w:rPr>
              <w:tab/>
              <w:t>Discount: 12</w:t>
            </w:r>
            <w:r w:rsidR="00B52BA5" w:rsidRPr="00B52BA5">
              <w:rPr>
                <w:rFonts w:ascii="CG Omega" w:hAnsi="CG Omega"/>
                <w:sz w:val="22"/>
                <w:szCs w:val="22"/>
              </w:rPr>
              <w:t>.00 (taken)</w:t>
            </w:r>
            <w:r w:rsidR="00B52BA5" w:rsidRPr="00B52BA5">
              <w:rPr>
                <w:rFonts w:ascii="CG Omega" w:hAnsi="CG Omega"/>
                <w:sz w:val="22"/>
                <w:szCs w:val="22"/>
              </w:rPr>
              <w:tab/>
            </w:r>
            <w:r w:rsidR="00B52BA5" w:rsidRPr="00B52BA5">
              <w:rPr>
                <w:rFonts w:ascii="CG Omega" w:hAnsi="CG Omega"/>
                <w:sz w:val="22"/>
                <w:szCs w:val="22"/>
              </w:rPr>
              <w:tab/>
              <w:t>Tax: 20.00</w:t>
            </w:r>
            <w:r w:rsidR="00B52BA5" w:rsidRPr="00B52BA5">
              <w:rPr>
                <w:rFonts w:ascii="CG Omega" w:hAnsi="CG Omega"/>
                <w:sz w:val="22"/>
                <w:szCs w:val="22"/>
              </w:rPr>
              <w:tab/>
            </w:r>
            <w:r w:rsidR="00B52BA5" w:rsidRPr="00B52BA5">
              <w:rPr>
                <w:rFonts w:ascii="CG Omega" w:hAnsi="CG Omega"/>
                <w:sz w:val="22"/>
                <w:szCs w:val="22"/>
              </w:rPr>
              <w:tab/>
              <w:t xml:space="preserve">Gross: </w:t>
            </w:r>
            <w:r>
              <w:rPr>
                <w:rFonts w:ascii="CG Omega" w:hAnsi="CG Omega"/>
                <w:sz w:val="22"/>
                <w:szCs w:val="22"/>
              </w:rPr>
              <w:t>108</w:t>
            </w:r>
            <w:r w:rsidR="00B52BA5" w:rsidRPr="00B52BA5">
              <w:rPr>
                <w:rFonts w:ascii="CG Omega" w:hAnsi="CG Omega"/>
                <w:sz w:val="22"/>
                <w:szCs w:val="22"/>
              </w:rPr>
              <w:t>.00</w:t>
            </w:r>
            <w:r w:rsidR="00B52BA5" w:rsidRPr="00B52BA5">
              <w:rPr>
                <w:rFonts w:ascii="CG Omega" w:hAnsi="CG Omega"/>
                <w:sz w:val="22"/>
                <w:szCs w:val="22"/>
              </w:rPr>
              <w:tab/>
            </w:r>
          </w:p>
          <w:p w:rsidR="00B52BA5" w:rsidRPr="00B52BA5" w:rsidRDefault="00B52BA5" w:rsidP="00B52BA5">
            <w:pPr>
              <w:rPr>
                <w:rFonts w:ascii="CG Omega" w:hAnsi="CG Omega"/>
                <w:sz w:val="24"/>
                <w:szCs w:val="24"/>
              </w:rPr>
            </w:pPr>
          </w:p>
          <w:p w:rsidR="00DE0906" w:rsidRDefault="00B52BA5" w:rsidP="0033249C">
            <w:pPr>
              <w:rPr>
                <w:rFonts w:ascii="CG Omega" w:hAnsi="CG Omega"/>
                <w:sz w:val="22"/>
                <w:szCs w:val="22"/>
              </w:rPr>
            </w:pPr>
            <w:r w:rsidRPr="00B52BA5">
              <w:rPr>
                <w:rFonts w:ascii="CG Omega" w:hAnsi="CG Omega"/>
                <w:sz w:val="22"/>
                <w:szCs w:val="22"/>
              </w:rPr>
              <w:t xml:space="preserve">When the payment is allocated to the invoice, tax is calculated on the discount (20% of </w:t>
            </w:r>
            <w:r w:rsidR="0033249C">
              <w:rPr>
                <w:rFonts w:ascii="CG Omega" w:hAnsi="CG Omega"/>
                <w:sz w:val="22"/>
                <w:szCs w:val="22"/>
              </w:rPr>
              <w:t>10</w:t>
            </w:r>
            <w:r w:rsidRPr="00B52BA5">
              <w:rPr>
                <w:rFonts w:ascii="CG Omega" w:hAnsi="CG Omega"/>
                <w:sz w:val="22"/>
                <w:szCs w:val="22"/>
              </w:rPr>
              <w:t>.</w:t>
            </w:r>
            <w:r w:rsidR="0033249C">
              <w:rPr>
                <w:rFonts w:ascii="CG Omega" w:hAnsi="CG Omega"/>
                <w:sz w:val="22"/>
                <w:szCs w:val="22"/>
              </w:rPr>
              <w:t>00) and this can be reclaimed (2</w:t>
            </w:r>
            <w:r w:rsidRPr="00B52BA5">
              <w:rPr>
                <w:rFonts w:ascii="CG Omega" w:hAnsi="CG Omega"/>
                <w:sz w:val="22"/>
                <w:szCs w:val="22"/>
              </w:rPr>
              <w:t xml:space="preserve">.00), this means that overall the </w:t>
            </w:r>
            <w:r w:rsidR="004062D4">
              <w:rPr>
                <w:rFonts w:ascii="CG Omega" w:hAnsi="CG Omega"/>
                <w:sz w:val="22"/>
                <w:szCs w:val="22"/>
              </w:rPr>
              <w:t xml:space="preserve">tax </w:t>
            </w:r>
            <w:r w:rsidRPr="00B52BA5">
              <w:rPr>
                <w:rFonts w:ascii="CG Omega" w:hAnsi="CG Omega"/>
                <w:sz w:val="22"/>
                <w:szCs w:val="22"/>
              </w:rPr>
              <w:t xml:space="preserve">amount paid is </w:t>
            </w:r>
            <w:r w:rsidR="004062D4">
              <w:rPr>
                <w:rFonts w:ascii="CG Omega" w:hAnsi="CG Omega"/>
                <w:sz w:val="22"/>
                <w:szCs w:val="22"/>
              </w:rPr>
              <w:t>1</w:t>
            </w:r>
            <w:r w:rsidR="0033249C">
              <w:rPr>
                <w:rFonts w:ascii="CG Omega" w:hAnsi="CG Omega"/>
                <w:sz w:val="22"/>
                <w:szCs w:val="22"/>
              </w:rPr>
              <w:t>8</w:t>
            </w:r>
            <w:r w:rsidRPr="00B52BA5">
              <w:rPr>
                <w:rFonts w:ascii="CG Omega" w:hAnsi="CG Omega"/>
                <w:sz w:val="22"/>
                <w:szCs w:val="22"/>
              </w:rPr>
              <w:t xml:space="preserve">.00 (as per the original example), the only difference is that if the discount is not taken the HMRC get the full tax amount rather than a reduced value. </w:t>
            </w:r>
          </w:p>
          <w:p w:rsidR="00DE0906" w:rsidRDefault="00DE0906" w:rsidP="0033249C">
            <w:pPr>
              <w:rPr>
                <w:rFonts w:ascii="CG Omega" w:hAnsi="CG Omega"/>
                <w:sz w:val="22"/>
                <w:szCs w:val="22"/>
              </w:rPr>
            </w:pPr>
          </w:p>
          <w:p w:rsidR="00F0734D" w:rsidRPr="00B52BA5" w:rsidRDefault="00DE0906" w:rsidP="00DE0906">
            <w:pPr>
              <w:rPr>
                <w:rFonts w:ascii="CG Omega" w:hAnsi="CG Omega"/>
                <w:sz w:val="22"/>
                <w:szCs w:val="22"/>
              </w:rPr>
            </w:pPr>
            <w:r>
              <w:rPr>
                <w:rFonts w:ascii="CG Omega" w:hAnsi="CG Omega"/>
                <w:sz w:val="22"/>
                <w:szCs w:val="22"/>
              </w:rPr>
              <w:t>The Global-3000 V6.0 software will implement these rules according to the transaction date.</w:t>
            </w:r>
            <w:r w:rsidR="00B52BA5" w:rsidRPr="00B52BA5">
              <w:rPr>
                <w:rFonts w:ascii="CG Omega" w:hAnsi="CG Omega"/>
                <w:sz w:val="22"/>
                <w:szCs w:val="22"/>
              </w:rPr>
              <w:tab/>
            </w:r>
          </w:p>
        </w:tc>
      </w:tr>
    </w:tbl>
    <w:p w:rsidR="00E54033" w:rsidRDefault="00E54033" w:rsidP="00B52BA5">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B52BA5" w:rsidRPr="008E645B" w:rsidTr="007F22E0">
        <w:trPr>
          <w:trHeight w:val="240"/>
        </w:trPr>
        <w:tc>
          <w:tcPr>
            <w:tcW w:w="10173" w:type="dxa"/>
          </w:tcPr>
          <w:p w:rsidR="00695318" w:rsidRDefault="00E54033" w:rsidP="00695318">
            <w:pPr>
              <w:pStyle w:val="BodyText"/>
              <w:rPr>
                <w:rFonts w:ascii="CG Omega" w:hAnsi="CG Omega"/>
                <w:sz w:val="24"/>
              </w:rPr>
            </w:pPr>
            <w:r>
              <w:br w:type="page"/>
            </w:r>
            <w:r w:rsidR="00125CFD">
              <w:rPr>
                <w:rFonts w:ascii="CG Omega" w:hAnsi="CG Omega"/>
                <w:sz w:val="24"/>
              </w:rPr>
              <w:t>Currently the system can be configured to calculate settlement discount on gross values and to analyse settlement discount to net and tax</w:t>
            </w:r>
            <w:r w:rsidR="00695318">
              <w:rPr>
                <w:rFonts w:ascii="CG Omega" w:hAnsi="CG Omega"/>
                <w:sz w:val="24"/>
              </w:rPr>
              <w:t>, th</w:t>
            </w:r>
            <w:r w:rsidR="0033249C">
              <w:rPr>
                <w:rFonts w:ascii="CG Omega" w:hAnsi="CG Omega"/>
                <w:sz w:val="24"/>
              </w:rPr>
              <w:t>is combination ca</w:t>
            </w:r>
            <w:r w:rsidR="00695318">
              <w:rPr>
                <w:rFonts w:ascii="CG Omega" w:hAnsi="CG Omega"/>
                <w:sz w:val="24"/>
              </w:rPr>
              <w:t xml:space="preserve">uses the system to operate exactly as the new changes require. </w:t>
            </w:r>
          </w:p>
          <w:p w:rsidR="00B52BA5" w:rsidRDefault="00695318" w:rsidP="003A447D">
            <w:pPr>
              <w:pStyle w:val="BodyText"/>
              <w:rPr>
                <w:rFonts w:ascii="CG Omega" w:hAnsi="CG Omega"/>
                <w:sz w:val="24"/>
              </w:rPr>
            </w:pPr>
            <w:r>
              <w:rPr>
                <w:rFonts w:ascii="CG Omega" w:hAnsi="CG Omega"/>
                <w:sz w:val="24"/>
              </w:rPr>
              <w:t>However</w:t>
            </w:r>
            <w:r w:rsidR="003A447D">
              <w:rPr>
                <w:rFonts w:ascii="CG Omega" w:hAnsi="CG Omega"/>
                <w:sz w:val="24"/>
              </w:rPr>
              <w:t>,</w:t>
            </w:r>
            <w:r>
              <w:rPr>
                <w:rFonts w:ascii="CG Omega" w:hAnsi="CG Omega"/>
                <w:sz w:val="24"/>
              </w:rPr>
              <w:t xml:space="preserve"> when settlement discount is analysed to net and tax it is no longer possible to use standard allocation batches. This is because a physical payment</w:t>
            </w:r>
            <w:r w:rsidR="00864AC6">
              <w:rPr>
                <w:rFonts w:ascii="CG Omega" w:hAnsi="CG Omega"/>
                <w:sz w:val="24"/>
              </w:rPr>
              <w:t>/receipt</w:t>
            </w:r>
            <w:r>
              <w:rPr>
                <w:rFonts w:ascii="CG Omega" w:hAnsi="CG Omega"/>
                <w:sz w:val="24"/>
              </w:rPr>
              <w:t xml:space="preserve"> transaction is required to claim back the tax paid on settlement discount, a zero value payment</w:t>
            </w:r>
            <w:r w:rsidR="00864AC6">
              <w:rPr>
                <w:rFonts w:ascii="CG Omega" w:hAnsi="CG Omega"/>
                <w:sz w:val="24"/>
              </w:rPr>
              <w:t>/receipt</w:t>
            </w:r>
            <w:r>
              <w:rPr>
                <w:rFonts w:ascii="CG Omega" w:hAnsi="CG Omega"/>
                <w:sz w:val="24"/>
              </w:rPr>
              <w:t xml:space="preserve"> can be entered to drive the allocations in place of an allocation batch.</w:t>
            </w:r>
            <w:r w:rsidR="00B52BA5">
              <w:rPr>
                <w:rFonts w:ascii="CG Omega" w:hAnsi="CG Omega"/>
                <w:sz w:val="24"/>
              </w:rPr>
              <w:t xml:space="preserve"> </w:t>
            </w:r>
          </w:p>
        </w:tc>
      </w:tr>
      <w:tr w:rsidR="003C7E6B" w:rsidRPr="008E645B" w:rsidTr="007F22E0">
        <w:trPr>
          <w:trHeight w:val="240"/>
        </w:trPr>
        <w:tc>
          <w:tcPr>
            <w:tcW w:w="10173" w:type="dxa"/>
          </w:tcPr>
          <w:p w:rsidR="003C7E6B" w:rsidRDefault="003C7E6B" w:rsidP="003C7E6B">
            <w:pPr>
              <w:pStyle w:val="BodyText"/>
              <w:rPr>
                <w:rFonts w:ascii="CG Omega" w:hAnsi="CG Omega"/>
                <w:sz w:val="24"/>
              </w:rPr>
            </w:pPr>
            <w:r>
              <w:rPr>
                <w:rFonts w:ascii="CG Omega" w:hAnsi="CG Omega"/>
                <w:sz w:val="24"/>
              </w:rPr>
              <w:t xml:space="preserve">The following changes </w:t>
            </w:r>
            <w:r w:rsidR="00864AC6">
              <w:rPr>
                <w:rFonts w:ascii="CG Omega" w:hAnsi="CG Omega"/>
                <w:sz w:val="24"/>
              </w:rPr>
              <w:t>have been made</w:t>
            </w:r>
            <w:r w:rsidR="006860E4">
              <w:rPr>
                <w:rFonts w:ascii="CG Omega" w:hAnsi="CG Omega"/>
                <w:sz w:val="24"/>
              </w:rPr>
              <w:t xml:space="preserve"> (note: unless stated they apply to both Debtors Ledger and Creditors Ledger)</w:t>
            </w:r>
            <w:r>
              <w:rPr>
                <w:rFonts w:ascii="CG Omega" w:hAnsi="CG Omega"/>
                <w:sz w:val="24"/>
              </w:rPr>
              <w:t>:</w:t>
            </w:r>
          </w:p>
          <w:p w:rsidR="00C314CF" w:rsidRDefault="00C314CF" w:rsidP="006860E4">
            <w:pPr>
              <w:pStyle w:val="BodyText"/>
              <w:rPr>
                <w:rFonts w:ascii="CG Omega" w:hAnsi="CG Omega"/>
                <w:sz w:val="24"/>
              </w:rPr>
            </w:pPr>
            <w:r>
              <w:rPr>
                <w:rFonts w:ascii="CG Omega" w:hAnsi="CG Omega"/>
                <w:sz w:val="24"/>
              </w:rPr>
              <w:t xml:space="preserve">The tax settings (within administration parameters) </w:t>
            </w:r>
            <w:r w:rsidR="00864AC6">
              <w:rPr>
                <w:rFonts w:ascii="CG Omega" w:hAnsi="CG Omega"/>
                <w:sz w:val="24"/>
              </w:rPr>
              <w:t>have been</w:t>
            </w:r>
            <w:r>
              <w:rPr>
                <w:rFonts w:ascii="CG Omega" w:hAnsi="CG Omega"/>
                <w:sz w:val="24"/>
              </w:rPr>
              <w:t xml:space="preserve"> updated to reword the text referring to UK tax processing.  In addition the </w:t>
            </w:r>
            <w:r w:rsidR="00A74BB5">
              <w:rPr>
                <w:rFonts w:ascii="CG Omega" w:hAnsi="CG Omega"/>
                <w:sz w:val="24"/>
              </w:rPr>
              <w:t xml:space="preserve">options relating to the analysis of settlement discount </w:t>
            </w:r>
            <w:r w:rsidR="00864AC6">
              <w:rPr>
                <w:rFonts w:ascii="CG Omega" w:hAnsi="CG Omega"/>
                <w:sz w:val="24"/>
              </w:rPr>
              <w:t>are</w:t>
            </w:r>
            <w:r w:rsidR="00A74BB5">
              <w:rPr>
                <w:rFonts w:ascii="CG Omega" w:hAnsi="CG Omega"/>
                <w:sz w:val="24"/>
              </w:rPr>
              <w:t xml:space="preserve"> no longer dependent on the system being configured to calculate settlement discount on gross values.</w:t>
            </w:r>
          </w:p>
          <w:p w:rsidR="003C7E6B" w:rsidRDefault="003C7E6B" w:rsidP="006860E4">
            <w:pPr>
              <w:pStyle w:val="BodyText"/>
              <w:rPr>
                <w:rFonts w:ascii="CG Omega" w:hAnsi="CG Omega"/>
                <w:sz w:val="24"/>
              </w:rPr>
            </w:pPr>
            <w:r>
              <w:rPr>
                <w:rFonts w:ascii="CG Omega" w:hAnsi="CG Omega"/>
                <w:sz w:val="24"/>
              </w:rPr>
              <w:t xml:space="preserve">Transaction entry </w:t>
            </w:r>
            <w:r w:rsidR="00864AC6">
              <w:rPr>
                <w:rFonts w:ascii="CG Omega" w:hAnsi="CG Omega"/>
                <w:sz w:val="24"/>
              </w:rPr>
              <w:t xml:space="preserve">has been </w:t>
            </w:r>
            <w:r>
              <w:rPr>
                <w:rFonts w:ascii="CG Omega" w:hAnsi="CG Omega"/>
                <w:sz w:val="24"/>
              </w:rPr>
              <w:t xml:space="preserve">updated to </w:t>
            </w:r>
            <w:r w:rsidR="006860E4">
              <w:rPr>
                <w:rFonts w:ascii="CG Omega" w:hAnsi="CG Omega"/>
                <w:sz w:val="24"/>
              </w:rPr>
              <w:t xml:space="preserve">rename the existing ‘Allocation’ batch type as ‘Allocation without discount’, when selected a standard allocation batch can be entered however, transactions that carry a discount value cannot be selected. A </w:t>
            </w:r>
            <w:r>
              <w:rPr>
                <w:rFonts w:ascii="CG Omega" w:hAnsi="CG Omega"/>
                <w:sz w:val="24"/>
              </w:rPr>
              <w:t xml:space="preserve">new option </w:t>
            </w:r>
            <w:r w:rsidR="006860E4">
              <w:rPr>
                <w:rFonts w:ascii="CG Omega" w:hAnsi="CG Omega"/>
                <w:sz w:val="24"/>
              </w:rPr>
              <w:t xml:space="preserve">(labelled ‘Allocation with discount’) </w:t>
            </w:r>
            <w:r w:rsidR="00864AC6">
              <w:rPr>
                <w:rFonts w:ascii="CG Omega" w:hAnsi="CG Omega"/>
                <w:sz w:val="24"/>
              </w:rPr>
              <w:t xml:space="preserve">has been </w:t>
            </w:r>
            <w:r w:rsidR="006860E4">
              <w:rPr>
                <w:rFonts w:ascii="CG Omega" w:hAnsi="CG Omega"/>
                <w:sz w:val="24"/>
              </w:rPr>
              <w:t xml:space="preserve">created, </w:t>
            </w:r>
            <w:r>
              <w:rPr>
                <w:rFonts w:ascii="CG Omega" w:hAnsi="CG Omega"/>
                <w:sz w:val="24"/>
              </w:rPr>
              <w:t>when select</w:t>
            </w:r>
            <w:r w:rsidR="006860E4">
              <w:rPr>
                <w:rFonts w:ascii="CG Omega" w:hAnsi="CG Omega"/>
                <w:sz w:val="24"/>
              </w:rPr>
              <w:t>ed a payment</w:t>
            </w:r>
            <w:r w:rsidR="00864AC6">
              <w:rPr>
                <w:rFonts w:ascii="CG Omega" w:hAnsi="CG Omega"/>
                <w:sz w:val="24"/>
              </w:rPr>
              <w:t>/receipt</w:t>
            </w:r>
            <w:r w:rsidR="006860E4">
              <w:rPr>
                <w:rFonts w:ascii="CG Omega" w:hAnsi="CG Omega"/>
                <w:sz w:val="24"/>
              </w:rPr>
              <w:t xml:space="preserve"> batch specifically identified as being for allocation is created.  Payments</w:t>
            </w:r>
            <w:r w:rsidR="00864AC6">
              <w:rPr>
                <w:rFonts w:ascii="CG Omega" w:hAnsi="CG Omega"/>
                <w:sz w:val="24"/>
              </w:rPr>
              <w:t>/receipts</w:t>
            </w:r>
            <w:r w:rsidR="006860E4">
              <w:rPr>
                <w:rFonts w:ascii="CG Omega" w:hAnsi="CG Omega"/>
                <w:sz w:val="24"/>
              </w:rPr>
              <w:t xml:space="preserve"> within an ‘Allocation with discount’ batch are automatically zero valued and have an indicator in enquiries to identify them.  The transaction reference for these is automatically generated and there is a new setting within system maintenance to allow the prefix to be specified (the default prefix is </w:t>
            </w:r>
            <w:r w:rsidR="00244CCC">
              <w:rPr>
                <w:rFonts w:ascii="CG Omega" w:hAnsi="CG Omega"/>
                <w:sz w:val="24"/>
              </w:rPr>
              <w:t xml:space="preserve">‘AD’ for Debtors Ledger or ‘AP’ for Creditors Ledger. If either is in use then </w:t>
            </w:r>
            <w:r w:rsidR="006860E4">
              <w:rPr>
                <w:rFonts w:ascii="CG Omega" w:hAnsi="CG Omega"/>
                <w:sz w:val="24"/>
              </w:rPr>
              <w:t>‘AL’</w:t>
            </w:r>
            <w:r w:rsidR="00244CCC">
              <w:rPr>
                <w:rFonts w:ascii="CG Omega" w:hAnsi="CG Omega"/>
                <w:sz w:val="24"/>
              </w:rPr>
              <w:t xml:space="preserve"> is used as the default</w:t>
            </w:r>
            <w:r w:rsidR="006860E4">
              <w:rPr>
                <w:rFonts w:ascii="CG Omega" w:hAnsi="CG Omega"/>
                <w:sz w:val="24"/>
              </w:rPr>
              <w:t>)</w:t>
            </w:r>
            <w:r w:rsidR="00C314CF">
              <w:rPr>
                <w:rFonts w:ascii="CG Omega" w:hAnsi="CG Omega"/>
                <w:sz w:val="24"/>
              </w:rPr>
              <w:t>.</w:t>
            </w:r>
          </w:p>
          <w:p w:rsidR="007A0B57" w:rsidRDefault="007A0B57" w:rsidP="00864AC6">
            <w:pPr>
              <w:pStyle w:val="BodyText"/>
              <w:rPr>
                <w:rFonts w:ascii="CG Omega" w:hAnsi="CG Omega"/>
                <w:sz w:val="24"/>
              </w:rPr>
            </w:pPr>
            <w:r>
              <w:rPr>
                <w:rFonts w:ascii="CG Omega" w:hAnsi="CG Omega"/>
                <w:sz w:val="24"/>
              </w:rPr>
              <w:t xml:space="preserve">Global 3000 Sales Order Processing (SOP) </w:t>
            </w:r>
            <w:r w:rsidR="00864AC6">
              <w:rPr>
                <w:rFonts w:ascii="CG Omega" w:hAnsi="CG Omega"/>
                <w:sz w:val="24"/>
              </w:rPr>
              <w:t>and Global 3000 Purchase Order Processing (POP) have been</w:t>
            </w:r>
            <w:r>
              <w:rPr>
                <w:rFonts w:ascii="CG Omega" w:hAnsi="CG Omega"/>
                <w:sz w:val="24"/>
              </w:rPr>
              <w:t xml:space="preserve"> be updated to ensure tax is calculated correctly when settlement discount is offered.</w:t>
            </w:r>
            <w:r w:rsidR="00803552">
              <w:rPr>
                <w:rFonts w:ascii="CG Omega" w:hAnsi="CG Omega"/>
                <w:sz w:val="24"/>
              </w:rPr>
              <w:t xml:space="preserve">  </w:t>
            </w:r>
          </w:p>
        </w:tc>
      </w:tr>
      <w:tr w:rsidR="007527E0" w:rsidRPr="008E645B" w:rsidTr="007F22E0">
        <w:trPr>
          <w:trHeight w:val="240"/>
        </w:trPr>
        <w:tc>
          <w:tcPr>
            <w:tcW w:w="10173" w:type="dxa"/>
          </w:tcPr>
          <w:p w:rsidR="007527E0" w:rsidRDefault="00405409" w:rsidP="00603094">
            <w:pPr>
              <w:pStyle w:val="BodyText"/>
              <w:rPr>
                <w:rFonts w:ascii="CG Omega" w:hAnsi="CG Omega"/>
                <w:sz w:val="24"/>
              </w:rPr>
            </w:pPr>
            <w:r>
              <w:rPr>
                <w:rFonts w:ascii="CG Omega" w:hAnsi="CG Omega"/>
                <w:sz w:val="24"/>
              </w:rPr>
              <w:t>In systems</w:t>
            </w:r>
            <w:r w:rsidR="00747C23">
              <w:rPr>
                <w:rFonts w:ascii="CG Omega" w:hAnsi="CG Omega"/>
                <w:sz w:val="24"/>
              </w:rPr>
              <w:t xml:space="preserve"> </w:t>
            </w:r>
            <w:r>
              <w:rPr>
                <w:rFonts w:ascii="CG Omega" w:hAnsi="CG Omega"/>
                <w:sz w:val="24"/>
              </w:rPr>
              <w:t xml:space="preserve">configured to analyse settlement discount taken to net and tax </w:t>
            </w:r>
            <w:r w:rsidR="00747C23">
              <w:rPr>
                <w:rFonts w:ascii="CG Omega" w:hAnsi="CG Omega"/>
                <w:sz w:val="24"/>
              </w:rPr>
              <w:t>system</w:t>
            </w:r>
            <w:r>
              <w:rPr>
                <w:rFonts w:ascii="CG Omega" w:hAnsi="CG Omega"/>
                <w:sz w:val="24"/>
              </w:rPr>
              <w:t xml:space="preserve">, </w:t>
            </w:r>
            <w:r w:rsidR="00747C23">
              <w:rPr>
                <w:rFonts w:ascii="CG Omega" w:hAnsi="CG Omega"/>
                <w:sz w:val="24"/>
              </w:rPr>
              <w:t>whenever a DL receipt or CL payment is posted, the items allocated to the receipt/payment are checked</w:t>
            </w:r>
            <w:r>
              <w:rPr>
                <w:rFonts w:ascii="CG Omega" w:hAnsi="CG Omega"/>
                <w:sz w:val="24"/>
              </w:rPr>
              <w:t xml:space="preserve"> for settlement discount</w:t>
            </w:r>
            <w:r w:rsidR="00793C68">
              <w:rPr>
                <w:rFonts w:ascii="CG Omega" w:hAnsi="CG Omega"/>
                <w:sz w:val="24"/>
              </w:rPr>
              <w:t>.</w:t>
            </w:r>
            <w:r>
              <w:rPr>
                <w:rFonts w:ascii="CG Omega" w:hAnsi="CG Omega"/>
                <w:sz w:val="24"/>
              </w:rPr>
              <w:t xml:space="preserve">  Those that have settlement discount are then checked to see if the </w:t>
            </w:r>
            <w:r w:rsidR="00BB7A8A">
              <w:rPr>
                <w:rFonts w:ascii="CG Omega" w:hAnsi="CG Omega"/>
                <w:sz w:val="24"/>
              </w:rPr>
              <w:t>tax was calculated on the full net or discount net amount.  If the tax was calculated on the full net amount the tax due/paid on the discount amount is then automatically reclaimed.</w:t>
            </w:r>
            <w:r w:rsidR="001B09C1">
              <w:rPr>
                <w:rFonts w:ascii="CG Omega" w:hAnsi="CG Omega"/>
                <w:sz w:val="24"/>
              </w:rPr>
              <w:t xml:space="preserve"> When the adjustments for this are posted to General Ledger the tax class is set to either ‘OD’(output </w:t>
            </w:r>
            <w:r w:rsidR="001B09C1">
              <w:rPr>
                <w:rFonts w:ascii="CG Omega" w:hAnsi="CG Omega"/>
                <w:sz w:val="24"/>
              </w:rPr>
              <w:lastRenderedPageBreak/>
              <w:t>discount) or ID (input discount)</w:t>
            </w:r>
            <w:r w:rsidR="00603094">
              <w:rPr>
                <w:rFonts w:ascii="CG Omega" w:hAnsi="CG Omega"/>
                <w:sz w:val="24"/>
              </w:rPr>
              <w:t>.</w:t>
            </w:r>
            <w:r w:rsidR="001B09C1">
              <w:rPr>
                <w:rFonts w:ascii="CG Omega" w:hAnsi="CG Omega"/>
                <w:sz w:val="24"/>
              </w:rPr>
              <w:t xml:space="preserve"> </w:t>
            </w:r>
            <w:r w:rsidR="00603094" w:rsidRPr="00603094">
              <w:rPr>
                <w:rFonts w:ascii="CG Omega" w:hAnsi="CG Omega"/>
                <w:b/>
                <w:sz w:val="24"/>
              </w:rPr>
              <w:t>Important Note:</w:t>
            </w:r>
            <w:r w:rsidR="00603094">
              <w:rPr>
                <w:rFonts w:ascii="CG Omega" w:hAnsi="CG Omega"/>
                <w:sz w:val="24"/>
              </w:rPr>
              <w:t xml:space="preserve"> A</w:t>
            </w:r>
            <w:r w:rsidR="001B09C1">
              <w:rPr>
                <w:rFonts w:ascii="CG Omega" w:hAnsi="CG Omega"/>
                <w:sz w:val="24"/>
              </w:rPr>
              <w:t xml:space="preserve"> new improved and revised VAT Reconciliation Report will be released prior to 01/04/2015 to cater for the new tax classes.</w:t>
            </w:r>
          </w:p>
        </w:tc>
      </w:tr>
      <w:tr w:rsidR="00BB7A8A" w:rsidRPr="008E645B" w:rsidTr="007F22E0">
        <w:trPr>
          <w:trHeight w:val="240"/>
        </w:trPr>
        <w:tc>
          <w:tcPr>
            <w:tcW w:w="10173" w:type="dxa"/>
          </w:tcPr>
          <w:p w:rsidR="00BB7A8A" w:rsidRDefault="00BB7A8A" w:rsidP="00803552">
            <w:pPr>
              <w:pStyle w:val="BodyText"/>
              <w:rPr>
                <w:rFonts w:ascii="CG Omega" w:hAnsi="CG Omega"/>
                <w:sz w:val="24"/>
              </w:rPr>
            </w:pPr>
            <w:r>
              <w:rPr>
                <w:rFonts w:ascii="CG Omega" w:hAnsi="CG Omega"/>
                <w:sz w:val="24"/>
              </w:rPr>
              <w:lastRenderedPageBreak/>
              <w:t>The changes are currently effective from the 1</w:t>
            </w:r>
            <w:r w:rsidRPr="00747C23">
              <w:rPr>
                <w:rFonts w:ascii="CG Omega" w:hAnsi="CG Omega"/>
                <w:sz w:val="24"/>
                <w:vertAlign w:val="superscript"/>
              </w:rPr>
              <w:t>st</w:t>
            </w:r>
            <w:r>
              <w:rPr>
                <w:rFonts w:ascii="CG Omega" w:hAnsi="CG Omega"/>
                <w:sz w:val="24"/>
              </w:rPr>
              <w:t xml:space="preserve"> April 2015</w:t>
            </w:r>
            <w:r w:rsidR="00803552">
              <w:rPr>
                <w:rFonts w:ascii="CG Omega" w:hAnsi="CG Omega"/>
                <w:sz w:val="24"/>
              </w:rPr>
              <w:t xml:space="preserve"> (for the majority of users)</w:t>
            </w:r>
            <w:r>
              <w:rPr>
                <w:rFonts w:ascii="CG Omega" w:hAnsi="CG Omega"/>
                <w:sz w:val="24"/>
              </w:rPr>
              <w:t>, after this date Debtors Ledger and Creditors Ledger</w:t>
            </w:r>
            <w:r w:rsidR="009142DD">
              <w:rPr>
                <w:rFonts w:ascii="CG Omega" w:hAnsi="CG Omega"/>
                <w:sz w:val="24"/>
              </w:rPr>
              <w:t xml:space="preserve"> will warn the user periodically if the system is configured </w:t>
            </w:r>
            <w:r w:rsidR="00522FBC">
              <w:rPr>
                <w:rFonts w:ascii="CG Omega" w:hAnsi="CG Omega"/>
                <w:sz w:val="24"/>
              </w:rPr>
              <w:t xml:space="preserve">to calculate tax net of settlement discount and the country for the company (selected) is ‘GB’. </w:t>
            </w:r>
            <w:r w:rsidR="009142DD">
              <w:rPr>
                <w:rFonts w:ascii="CG Omega" w:hAnsi="CG Omega"/>
                <w:sz w:val="24"/>
              </w:rPr>
              <w:t xml:space="preserve"> </w:t>
            </w:r>
            <w:r>
              <w:rPr>
                <w:rFonts w:ascii="CG Omega" w:hAnsi="CG Omega"/>
                <w:sz w:val="24"/>
              </w:rPr>
              <w:t xml:space="preserve">  </w:t>
            </w:r>
          </w:p>
        </w:tc>
      </w:tr>
      <w:tr w:rsidR="00BB02AE" w:rsidRPr="008E645B" w:rsidTr="007F22E0">
        <w:trPr>
          <w:trHeight w:val="240"/>
        </w:trPr>
        <w:tc>
          <w:tcPr>
            <w:tcW w:w="10173" w:type="dxa"/>
          </w:tcPr>
          <w:p w:rsidR="00BB02AE" w:rsidRPr="00BB02AE" w:rsidRDefault="00BB02AE" w:rsidP="00BB02AE">
            <w:pPr>
              <w:pStyle w:val="BodyText"/>
              <w:tabs>
                <w:tab w:val="left" w:pos="1988"/>
              </w:tabs>
              <w:rPr>
                <w:rFonts w:ascii="CG Omega" w:hAnsi="CG Omega"/>
                <w:sz w:val="24"/>
                <w:szCs w:val="24"/>
              </w:rPr>
            </w:pPr>
            <w:r w:rsidRPr="00BB02AE">
              <w:rPr>
                <w:rFonts w:ascii="CG Omega" w:hAnsi="CG Omega"/>
                <w:sz w:val="24"/>
                <w:szCs w:val="24"/>
              </w:rPr>
              <w:t xml:space="preserve">To conform to the </w:t>
            </w:r>
            <w:r>
              <w:rPr>
                <w:rFonts w:ascii="CG Omega" w:hAnsi="CG Omega"/>
                <w:sz w:val="24"/>
                <w:szCs w:val="24"/>
              </w:rPr>
              <w:t>new</w:t>
            </w:r>
            <w:r w:rsidRPr="00BB02AE">
              <w:rPr>
                <w:rFonts w:ascii="CG Omega" w:hAnsi="CG Omega"/>
                <w:sz w:val="24"/>
                <w:szCs w:val="24"/>
              </w:rPr>
              <w:t xml:space="preserve"> legislation </w:t>
            </w:r>
            <w:r w:rsidR="00603094" w:rsidRPr="00BB02AE">
              <w:rPr>
                <w:rFonts w:ascii="CG Omega" w:hAnsi="CG Omega"/>
                <w:sz w:val="24"/>
                <w:szCs w:val="24"/>
              </w:rPr>
              <w:t xml:space="preserve">UK based businesses </w:t>
            </w:r>
            <w:r w:rsidRPr="00BB02AE">
              <w:rPr>
                <w:rFonts w:ascii="CG Omega" w:hAnsi="CG Omega"/>
                <w:sz w:val="24"/>
                <w:szCs w:val="24"/>
              </w:rPr>
              <w:t>must</w:t>
            </w:r>
            <w:r w:rsidR="00603094">
              <w:rPr>
                <w:rFonts w:ascii="CG Omega" w:hAnsi="CG Omega"/>
                <w:sz w:val="24"/>
                <w:szCs w:val="24"/>
              </w:rPr>
              <w:t xml:space="preserve"> </w:t>
            </w:r>
            <w:r w:rsidRPr="00BB02AE">
              <w:rPr>
                <w:rFonts w:ascii="CG Omega" w:hAnsi="CG Omega"/>
                <w:sz w:val="24"/>
                <w:szCs w:val="24"/>
              </w:rPr>
              <w:t xml:space="preserve">configure the system (via system parameters, administration, tax codes, tax options) so that </w:t>
            </w:r>
            <w:r w:rsidR="00803552">
              <w:rPr>
                <w:rFonts w:ascii="CG Omega" w:hAnsi="CG Omega"/>
                <w:sz w:val="24"/>
                <w:szCs w:val="24"/>
              </w:rPr>
              <w:t>tax</w:t>
            </w:r>
            <w:r w:rsidRPr="00BB02AE">
              <w:rPr>
                <w:rFonts w:ascii="CG Omega" w:hAnsi="CG Omega"/>
                <w:sz w:val="24"/>
                <w:szCs w:val="24"/>
              </w:rPr>
              <w:t xml:space="preserve"> is </w:t>
            </w:r>
            <w:r w:rsidRPr="00BB02AE">
              <w:rPr>
                <w:rFonts w:ascii="CG Omega" w:hAnsi="CG Omega"/>
                <w:b/>
                <w:sz w:val="24"/>
                <w:szCs w:val="24"/>
              </w:rPr>
              <w:t xml:space="preserve">NOT </w:t>
            </w:r>
            <w:r w:rsidRPr="00BB02AE">
              <w:rPr>
                <w:rFonts w:ascii="CG Omega" w:hAnsi="CG Omega"/>
                <w:sz w:val="24"/>
                <w:szCs w:val="24"/>
              </w:rPr>
              <w:t xml:space="preserve">calculated net of settlement discount and to (via the discount analysis button) </w:t>
            </w:r>
            <w:r w:rsidR="0033249C">
              <w:rPr>
                <w:rFonts w:ascii="CG Omega" w:hAnsi="CG Omega"/>
                <w:sz w:val="24"/>
                <w:szCs w:val="24"/>
              </w:rPr>
              <w:t xml:space="preserve">calculate settlement discount on gross invoice values and to </w:t>
            </w:r>
            <w:r w:rsidRPr="00BB02AE">
              <w:rPr>
                <w:rFonts w:ascii="CG Omega" w:hAnsi="CG Omega"/>
                <w:sz w:val="24"/>
                <w:szCs w:val="24"/>
              </w:rPr>
              <w:t>analyse settlement discount taken to net and tax.</w:t>
            </w:r>
          </w:p>
          <w:p w:rsidR="00BB02AE" w:rsidRPr="00BB02AE" w:rsidRDefault="00BB02AE" w:rsidP="00B11A5B">
            <w:pPr>
              <w:pStyle w:val="BodyText"/>
              <w:tabs>
                <w:tab w:val="left" w:pos="1988"/>
              </w:tabs>
              <w:rPr>
                <w:rFonts w:ascii="CG Omega" w:hAnsi="CG Omega"/>
                <w:sz w:val="24"/>
                <w:szCs w:val="24"/>
              </w:rPr>
            </w:pPr>
            <w:r w:rsidRPr="00BB02AE">
              <w:rPr>
                <w:rFonts w:ascii="CG Omega" w:hAnsi="CG Omega"/>
                <w:sz w:val="24"/>
                <w:szCs w:val="24"/>
              </w:rPr>
              <w:t>The system must be configured correctly on either 01/04/2015 or 01/05/2014 depending on the nature of your business.  A</w:t>
            </w:r>
            <w:r w:rsidR="00B11A5B">
              <w:rPr>
                <w:rFonts w:ascii="CG Omega" w:hAnsi="CG Omega"/>
                <w:sz w:val="24"/>
                <w:szCs w:val="24"/>
              </w:rPr>
              <w:t>s of</w:t>
            </w:r>
            <w:r w:rsidRPr="00BB02AE">
              <w:rPr>
                <w:rFonts w:ascii="CG Omega" w:hAnsi="CG Omega"/>
                <w:sz w:val="24"/>
                <w:szCs w:val="24"/>
              </w:rPr>
              <w:t xml:space="preserve"> 01/04/2015 the system will display a warning (within DL and CL) if the system is not configured correctly and the selected company is UK based (i.e. its address country is set to ‘GB’).  </w:t>
            </w:r>
            <w:r w:rsidR="00603094" w:rsidRPr="00603094">
              <w:rPr>
                <w:rFonts w:ascii="CG Omega" w:hAnsi="CG Omega"/>
                <w:b/>
                <w:sz w:val="24"/>
                <w:szCs w:val="24"/>
              </w:rPr>
              <w:t>Important Note:</w:t>
            </w:r>
            <w:r w:rsidR="00603094">
              <w:rPr>
                <w:rFonts w:ascii="CG Omega" w:hAnsi="CG Omega"/>
                <w:sz w:val="24"/>
                <w:szCs w:val="24"/>
              </w:rPr>
              <w:t xml:space="preserve"> </w:t>
            </w:r>
            <w:r w:rsidR="00BB7FBF">
              <w:rPr>
                <w:rFonts w:ascii="CG Omega" w:hAnsi="CG Omega"/>
                <w:sz w:val="24"/>
                <w:szCs w:val="24"/>
              </w:rPr>
              <w:t>The system must be configured correctly regardless of whether or not prompt payment (settlement) discounts are in use.</w:t>
            </w:r>
          </w:p>
        </w:tc>
      </w:tr>
      <w:tr w:rsidR="00515255" w:rsidRPr="008E645B" w:rsidTr="007F22E0">
        <w:trPr>
          <w:trHeight w:val="240"/>
        </w:trPr>
        <w:tc>
          <w:tcPr>
            <w:tcW w:w="10173" w:type="dxa"/>
          </w:tcPr>
          <w:p w:rsidR="00515255" w:rsidRPr="00BB02AE" w:rsidRDefault="00515255" w:rsidP="00DE0906">
            <w:pPr>
              <w:pStyle w:val="BodyText"/>
              <w:tabs>
                <w:tab w:val="left" w:pos="1988"/>
              </w:tabs>
              <w:rPr>
                <w:rFonts w:ascii="CG Omega" w:hAnsi="CG Omega"/>
                <w:sz w:val="24"/>
                <w:szCs w:val="24"/>
              </w:rPr>
            </w:pPr>
            <w:r w:rsidRPr="00BB7FBF">
              <w:rPr>
                <w:rFonts w:ascii="CG Omega" w:hAnsi="CG Omega"/>
                <w:b/>
                <w:sz w:val="24"/>
                <w:szCs w:val="24"/>
              </w:rPr>
              <w:t>I</w:t>
            </w:r>
            <w:r w:rsidR="00603094">
              <w:rPr>
                <w:rFonts w:ascii="CG Omega" w:hAnsi="CG Omega"/>
                <w:b/>
                <w:sz w:val="24"/>
                <w:szCs w:val="24"/>
              </w:rPr>
              <w:t>mportant</w:t>
            </w:r>
            <w:r w:rsidRPr="00BB7FBF">
              <w:rPr>
                <w:rFonts w:ascii="CG Omega" w:hAnsi="CG Omega"/>
                <w:b/>
                <w:sz w:val="24"/>
                <w:szCs w:val="24"/>
              </w:rPr>
              <w:t xml:space="preserve"> N</w:t>
            </w:r>
            <w:r w:rsidR="00603094">
              <w:rPr>
                <w:rFonts w:ascii="CG Omega" w:hAnsi="CG Omega"/>
                <w:b/>
                <w:sz w:val="24"/>
                <w:szCs w:val="24"/>
              </w:rPr>
              <w:t>ote</w:t>
            </w:r>
            <w:r>
              <w:rPr>
                <w:rFonts w:ascii="CG Omega" w:hAnsi="CG Omega"/>
                <w:sz w:val="24"/>
                <w:szCs w:val="24"/>
              </w:rPr>
              <w:t>: HMRC have stated that invoices on which prompt payment (settlement) discount is offered MUST contain wording with the following meaning “</w:t>
            </w:r>
            <w:r w:rsidRPr="00515255">
              <w:rPr>
                <w:rFonts w:ascii="CG Omega" w:hAnsi="CG Omega"/>
                <w:sz w:val="24"/>
                <w:szCs w:val="24"/>
              </w:rPr>
              <w:t xml:space="preserve">A discount of </w:t>
            </w:r>
            <w:r>
              <w:rPr>
                <w:rFonts w:ascii="CG Omega" w:hAnsi="CG Omega"/>
                <w:sz w:val="24"/>
                <w:szCs w:val="24"/>
              </w:rPr>
              <w:t>nn</w:t>
            </w:r>
            <w:r w:rsidRPr="00515255">
              <w:rPr>
                <w:rFonts w:ascii="CG Omega" w:hAnsi="CG Omega"/>
                <w:sz w:val="24"/>
                <w:szCs w:val="24"/>
              </w:rPr>
              <w:t xml:space="preserve">% of the full price applies if payment is made within </w:t>
            </w:r>
            <w:r>
              <w:rPr>
                <w:rFonts w:ascii="CG Omega" w:hAnsi="CG Omega"/>
                <w:sz w:val="24"/>
                <w:szCs w:val="24"/>
              </w:rPr>
              <w:t>nn</w:t>
            </w:r>
            <w:r w:rsidRPr="00515255">
              <w:rPr>
                <w:rFonts w:ascii="CG Omega" w:hAnsi="CG Omega"/>
                <w:sz w:val="24"/>
                <w:szCs w:val="24"/>
              </w:rPr>
              <w:t xml:space="preserve"> days. No credit note will</w:t>
            </w:r>
            <w:r>
              <w:rPr>
                <w:rFonts w:ascii="CG Omega" w:hAnsi="CG Omega"/>
                <w:sz w:val="24"/>
                <w:szCs w:val="24"/>
              </w:rPr>
              <w:t xml:space="preserve"> </w:t>
            </w:r>
            <w:r w:rsidRPr="00515255">
              <w:rPr>
                <w:rFonts w:ascii="CG Omega" w:hAnsi="CG Omega"/>
                <w:sz w:val="24"/>
                <w:szCs w:val="24"/>
              </w:rPr>
              <w:t xml:space="preserve">be issued. Following payment you must ensure you have only recovered </w:t>
            </w:r>
            <w:r w:rsidR="00BB7FBF">
              <w:rPr>
                <w:rFonts w:ascii="CG Omega" w:hAnsi="CG Omega"/>
                <w:sz w:val="24"/>
                <w:szCs w:val="24"/>
              </w:rPr>
              <w:t>the VAT actually paid</w:t>
            </w:r>
            <w:r>
              <w:rPr>
                <w:rFonts w:ascii="CG Omega" w:hAnsi="CG Omega"/>
                <w:sz w:val="24"/>
                <w:szCs w:val="24"/>
              </w:rPr>
              <w:t xml:space="preserve">”. The standard invoice prints and PDF format invoices have been updated to include words to the above </w:t>
            </w:r>
            <w:r w:rsidR="00DE0906">
              <w:rPr>
                <w:rFonts w:ascii="CG Omega" w:hAnsi="CG Omega"/>
                <w:sz w:val="24"/>
                <w:szCs w:val="24"/>
              </w:rPr>
              <w:t>e</w:t>
            </w:r>
            <w:r>
              <w:rPr>
                <w:rFonts w:ascii="CG Omega" w:hAnsi="CG Omega"/>
                <w:sz w:val="24"/>
                <w:szCs w:val="24"/>
              </w:rPr>
              <w:t>ffect</w:t>
            </w:r>
            <w:r w:rsidR="00DE0906">
              <w:rPr>
                <w:rFonts w:ascii="CG Omega" w:hAnsi="CG Omega"/>
                <w:sz w:val="24"/>
                <w:szCs w:val="24"/>
              </w:rPr>
              <w:t xml:space="preserve">. However, </w:t>
            </w:r>
            <w:r>
              <w:rPr>
                <w:rFonts w:ascii="CG Omega" w:hAnsi="CG Omega"/>
                <w:sz w:val="24"/>
                <w:szCs w:val="24"/>
              </w:rPr>
              <w:t xml:space="preserve">it should be noted that due to space on the stationary, PDF format invoices (which are the preferred format for invoices) contain a much more verbose and meaningful message. </w:t>
            </w:r>
            <w:r w:rsidR="00DE0906">
              <w:rPr>
                <w:rFonts w:ascii="CG Omega" w:hAnsi="CG Omega"/>
                <w:sz w:val="24"/>
                <w:szCs w:val="24"/>
              </w:rPr>
              <w:t xml:space="preserve">You are strongly recommended to switch to PDF reports if you are not already using this format. </w:t>
            </w:r>
            <w:r w:rsidR="00BB7FBF">
              <w:rPr>
                <w:rFonts w:ascii="CG Omega" w:hAnsi="CG Omega"/>
                <w:sz w:val="24"/>
                <w:szCs w:val="24"/>
              </w:rPr>
              <w:t xml:space="preserve">If you have been supplied with a tailored invoice layout you must check with your software supplier to ensure that your invoices will continue to meet HMRC regulations. </w:t>
            </w:r>
          </w:p>
        </w:tc>
      </w:tr>
    </w:tbl>
    <w:p w:rsidR="00B52BA5" w:rsidRPr="00B52BA5" w:rsidRDefault="00B52BA5" w:rsidP="00B52BA5">
      <w:pPr>
        <w:pStyle w:val="BodyText"/>
      </w:pPr>
    </w:p>
    <w:p w:rsidR="00E3132E" w:rsidRDefault="00E3132E">
      <w:pPr>
        <w:rPr>
          <w:rFonts w:ascii="Arial" w:hAnsi="Arial"/>
          <w:b/>
          <w:sz w:val="22"/>
        </w:rPr>
      </w:pPr>
    </w:p>
    <w:p w:rsidR="00E842B7" w:rsidRDefault="00394941">
      <w:pPr>
        <w:rPr>
          <w:rFonts w:ascii="Arial" w:hAnsi="Arial"/>
          <w:b/>
          <w:sz w:val="22"/>
        </w:rPr>
      </w:pPr>
      <w:r>
        <w:rPr>
          <w:rFonts w:ascii="Arial" w:hAnsi="Arial"/>
          <w:b/>
          <w:sz w:val="22"/>
        </w:rPr>
        <w:br w:type="page"/>
      </w:r>
      <w:r w:rsidR="00E842B7" w:rsidRPr="008E645B">
        <w:rPr>
          <w:rFonts w:ascii="Arial" w:hAnsi="Arial"/>
          <w:b/>
          <w:sz w:val="22"/>
        </w:rPr>
        <w:lastRenderedPageBreak/>
        <w:t>DOCUMENTATION CHANGES</w:t>
      </w:r>
    </w:p>
    <w:p w:rsidR="00FF109B" w:rsidRDefault="00FF109B">
      <w:pPr>
        <w:rPr>
          <w:rFonts w:ascii="Arial" w:hAnsi="Arial"/>
          <w:b/>
          <w:sz w:val="22"/>
        </w:rPr>
      </w:pPr>
    </w:p>
    <w:p w:rsidR="006E40DC" w:rsidRDefault="006E40DC" w:rsidP="006E40DC">
      <w:pPr>
        <w:pStyle w:val="Heading4"/>
      </w:pPr>
      <w:r>
        <w:t xml:space="preserve">Operating Options – </w:t>
      </w:r>
      <w:r w:rsidR="007A382F">
        <w:t xml:space="preserve">Tax Settings - </w:t>
      </w:r>
      <w:r>
        <w:t>Settlement Discount Analysis Window</w:t>
      </w:r>
    </w:p>
    <w:p w:rsidR="006E40DC" w:rsidRDefault="0072097E" w:rsidP="006E40DC">
      <w:pPr>
        <w:rPr>
          <w:i/>
          <w:iCs/>
        </w:rPr>
      </w:pPr>
      <w:r>
        <w:rPr>
          <w:i/>
          <w:iCs/>
        </w:rPr>
        <w:t xml:space="preserve"> </w:t>
      </w:r>
      <w:r w:rsidR="00AE60C8">
        <w:rPr>
          <w:noProof/>
        </w:rPr>
        <w:pict>
          <v:shape id="Picture 1" o:spid="_x0000_i1025" type="#_x0000_t75" style="width:468pt;height:391.5pt;visibility:visible;mso-wrap-style:square">
            <v:imagedata r:id="rId11" o:title=""/>
          </v:shape>
        </w:pict>
      </w:r>
    </w:p>
    <w:p w:rsidR="006E40DC" w:rsidRDefault="006E40DC" w:rsidP="006E40DC">
      <w:pPr>
        <w:rPr>
          <w:i/>
          <w:iCs/>
        </w:rPr>
      </w:pPr>
    </w:p>
    <w:tbl>
      <w:tblPr>
        <w:tblW w:w="0" w:type="auto"/>
        <w:tblLayout w:type="fixed"/>
        <w:tblCellMar>
          <w:left w:w="142" w:type="dxa"/>
          <w:right w:w="142" w:type="dxa"/>
        </w:tblCellMar>
        <w:tblLook w:val="0000" w:firstRow="0" w:lastRow="0" w:firstColumn="0" w:lastColumn="0" w:noHBand="0" w:noVBand="0"/>
      </w:tblPr>
      <w:tblGrid>
        <w:gridCol w:w="2268"/>
        <w:gridCol w:w="6946"/>
      </w:tblGrid>
      <w:tr w:rsidR="006E40DC" w:rsidTr="007F22E0">
        <w:tc>
          <w:tcPr>
            <w:tcW w:w="2268" w:type="dxa"/>
          </w:tcPr>
          <w:p w:rsidR="006E40DC" w:rsidRDefault="006E40DC" w:rsidP="007F22E0">
            <w:pPr>
              <w:pStyle w:val="Subheading"/>
            </w:pPr>
          </w:p>
        </w:tc>
        <w:tc>
          <w:tcPr>
            <w:tcW w:w="6946" w:type="dxa"/>
          </w:tcPr>
          <w:p w:rsidR="006E40DC" w:rsidRDefault="006E40DC" w:rsidP="007F22E0">
            <w:pPr>
              <w:pStyle w:val="BodyText"/>
            </w:pPr>
            <w:r>
              <w:t>This window appears when you press the ‘Discount Analysis’ button within the ‘Tax Rate Controls’ Tax Options window.</w:t>
            </w:r>
          </w:p>
        </w:tc>
      </w:tr>
      <w:tr w:rsidR="006E40DC" w:rsidTr="007F22E0">
        <w:tc>
          <w:tcPr>
            <w:tcW w:w="2268" w:type="dxa"/>
          </w:tcPr>
          <w:p w:rsidR="006E40DC" w:rsidRDefault="006E40DC" w:rsidP="007F22E0">
            <w:pPr>
              <w:pStyle w:val="Subheading"/>
            </w:pPr>
            <w:r>
              <w:t>Purpose</w:t>
            </w:r>
          </w:p>
        </w:tc>
        <w:tc>
          <w:tcPr>
            <w:tcW w:w="6946" w:type="dxa"/>
          </w:tcPr>
          <w:p w:rsidR="006E40DC" w:rsidRDefault="006E40DC" w:rsidP="007174A7">
            <w:pPr>
              <w:pStyle w:val="BodyText"/>
            </w:pPr>
            <w:r>
              <w:t xml:space="preserve">This window enables you to configure how settlement discount is calculated and analysed in systems </w:t>
            </w:r>
            <w:r w:rsidRPr="007174A7">
              <w:rPr>
                <w:b/>
              </w:rPr>
              <w:t xml:space="preserve">not </w:t>
            </w:r>
            <w:r>
              <w:t>calculating tax net of settlement discount</w:t>
            </w:r>
            <w:r w:rsidR="007174A7">
              <w:t>.</w:t>
            </w:r>
          </w:p>
        </w:tc>
      </w:tr>
    </w:tbl>
    <w:p w:rsidR="006E40DC" w:rsidRDefault="006E40DC" w:rsidP="006E40DC">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6E40DC" w:rsidTr="007F22E0">
        <w:trPr>
          <w:cantSplit/>
        </w:trPr>
        <w:tc>
          <w:tcPr>
            <w:tcW w:w="2269" w:type="dxa"/>
          </w:tcPr>
          <w:p w:rsidR="006E40DC" w:rsidRPr="00537E10" w:rsidRDefault="006E40DC" w:rsidP="007F22E0">
            <w:pPr>
              <w:pStyle w:val="Subheading"/>
              <w:rPr>
                <w:i/>
              </w:rPr>
            </w:pPr>
            <w:r w:rsidRPr="00537E10">
              <w:rPr>
                <w:i/>
              </w:rPr>
              <w:t>Note</w:t>
            </w:r>
          </w:p>
        </w:tc>
        <w:tc>
          <w:tcPr>
            <w:tcW w:w="6945" w:type="dxa"/>
            <w:shd w:val="pct12" w:color="auto" w:fill="auto"/>
          </w:tcPr>
          <w:p w:rsidR="006E40DC" w:rsidRDefault="006E40DC" w:rsidP="007F22E0">
            <w:pPr>
              <w:pStyle w:val="BodyText"/>
            </w:pPr>
            <w:r>
              <w:t>All options in this window are only available for systems NOT configured to calculate tax net of settlement discount (i.e. as per UK HMRC legislation).</w:t>
            </w:r>
          </w:p>
        </w:tc>
      </w:tr>
      <w:tr w:rsidR="006E40DC" w:rsidTr="007F22E0">
        <w:trPr>
          <w:cantSplit/>
        </w:trPr>
        <w:tc>
          <w:tcPr>
            <w:tcW w:w="2269" w:type="dxa"/>
          </w:tcPr>
          <w:p w:rsidR="006E40DC" w:rsidRDefault="006E40DC" w:rsidP="007F22E0">
            <w:pPr>
              <w:pStyle w:val="Subheading"/>
            </w:pPr>
            <w:r>
              <w:t>Calculate settlement discount on gross invoice values?</w:t>
            </w:r>
          </w:p>
        </w:tc>
        <w:tc>
          <w:tcPr>
            <w:tcW w:w="6945" w:type="dxa"/>
          </w:tcPr>
          <w:p w:rsidR="006E40DC" w:rsidRDefault="006E40DC" w:rsidP="007F22E0">
            <w:pPr>
              <w:pStyle w:val="BodyText"/>
            </w:pPr>
            <w:r w:rsidRPr="006D3E12">
              <w:rPr>
                <w:i/>
              </w:rPr>
              <w:t>(Only available if Debtors Ledger or Creditors Ledger are in use)</w:t>
            </w:r>
            <w:r>
              <w:t xml:space="preserve"> Set this to configure </w:t>
            </w:r>
            <w:r w:rsidRPr="00B42AD2">
              <w:t>Debtors Ledger and Creditors Ledger to calculate settlement discount on the gross value of invoices</w:t>
            </w:r>
            <w:r>
              <w:t xml:space="preserve">. </w:t>
            </w:r>
          </w:p>
        </w:tc>
      </w:tr>
      <w:tr w:rsidR="006E40DC" w:rsidTr="007F22E0">
        <w:trPr>
          <w:cantSplit/>
        </w:trPr>
        <w:tc>
          <w:tcPr>
            <w:tcW w:w="2269" w:type="dxa"/>
          </w:tcPr>
          <w:p w:rsidR="006E40DC" w:rsidRPr="006D3E12" w:rsidRDefault="006E40DC" w:rsidP="007F22E0">
            <w:pPr>
              <w:pStyle w:val="Subheading"/>
              <w:rPr>
                <w:i/>
              </w:rPr>
            </w:pPr>
            <w:r w:rsidRPr="006D3E12">
              <w:rPr>
                <w:i/>
              </w:rPr>
              <w:t>Note</w:t>
            </w:r>
          </w:p>
        </w:tc>
        <w:tc>
          <w:tcPr>
            <w:tcW w:w="6945" w:type="dxa"/>
            <w:shd w:val="pct12" w:color="auto" w:fill="auto"/>
          </w:tcPr>
          <w:p w:rsidR="006E40DC" w:rsidRDefault="006E40DC" w:rsidP="007F22E0">
            <w:pPr>
              <w:pStyle w:val="BodyText"/>
            </w:pPr>
            <w:r w:rsidRPr="00B42AD2">
              <w:t xml:space="preserve">Many countries operate a "tax at invoice" policy requiring traders to adjust tax to account for settlement discount taken </w:t>
            </w:r>
            <w:r>
              <w:t>when</w:t>
            </w:r>
            <w:r w:rsidRPr="00B42AD2">
              <w:t xml:space="preserve"> payments</w:t>
            </w:r>
            <w:r>
              <w:t xml:space="preserve"> are received from customers and made to suppliers</w:t>
            </w:r>
            <w:r w:rsidRPr="00B42AD2">
              <w:t xml:space="preserve">. Global 3000 Debtors Ledger </w:t>
            </w:r>
            <w:r>
              <w:t xml:space="preserve">and Global 3000 Creditors Ledger </w:t>
            </w:r>
            <w:r w:rsidRPr="00B42AD2">
              <w:t>provide this facility through the "Analyse settlement discount taken to net and tax" opti</w:t>
            </w:r>
            <w:r>
              <w:t>on.</w:t>
            </w:r>
          </w:p>
        </w:tc>
      </w:tr>
      <w:tr w:rsidR="006E40DC" w:rsidTr="007F22E0">
        <w:trPr>
          <w:cantSplit/>
        </w:trPr>
        <w:tc>
          <w:tcPr>
            <w:tcW w:w="2269" w:type="dxa"/>
          </w:tcPr>
          <w:p w:rsidR="006E40DC" w:rsidRDefault="006E40DC" w:rsidP="007F22E0">
            <w:pPr>
              <w:pStyle w:val="Subheading"/>
            </w:pPr>
            <w:r>
              <w:lastRenderedPageBreak/>
              <w:t>Analyse settlement discount taken to net and tax?</w:t>
            </w:r>
          </w:p>
        </w:tc>
        <w:tc>
          <w:tcPr>
            <w:tcW w:w="6945" w:type="dxa"/>
          </w:tcPr>
          <w:p w:rsidR="006E40DC" w:rsidRDefault="006E40DC" w:rsidP="006E40DC">
            <w:pPr>
              <w:pStyle w:val="BodyText"/>
            </w:pPr>
            <w:r w:rsidRPr="006D3E12">
              <w:rPr>
                <w:i/>
              </w:rPr>
              <w:t>(Only available if Debtors Ledger or Creditors Ledger are in use)</w:t>
            </w:r>
            <w:r>
              <w:t xml:space="preserve"> Set this to configure </w:t>
            </w:r>
            <w:r w:rsidRPr="00B42AD2">
              <w:t xml:space="preserve">Debtors Ledger </w:t>
            </w:r>
            <w:r>
              <w:t xml:space="preserve">and Creditors Ledger </w:t>
            </w:r>
            <w:r w:rsidRPr="00B42AD2">
              <w:t xml:space="preserve">so that the portion of settlement discount taken with a </w:t>
            </w:r>
            <w:r>
              <w:t xml:space="preserve">payment/receipt </w:t>
            </w:r>
            <w:r w:rsidRPr="00B42AD2">
              <w:t xml:space="preserve">that is allocated against the tax portion of an invoice is analysed to a separate General Ledger profit centre and account when the </w:t>
            </w:r>
            <w:r>
              <w:t>payment/receipt</w:t>
            </w:r>
            <w:r w:rsidRPr="00B42AD2">
              <w:t xml:space="preserve"> is posted</w:t>
            </w:r>
            <w:r>
              <w:t>.</w:t>
            </w:r>
          </w:p>
        </w:tc>
      </w:tr>
      <w:tr w:rsidR="006E40DC" w:rsidTr="007F22E0">
        <w:trPr>
          <w:cantSplit/>
        </w:trPr>
        <w:tc>
          <w:tcPr>
            <w:tcW w:w="2269" w:type="dxa"/>
          </w:tcPr>
          <w:p w:rsidR="006E40DC" w:rsidRPr="006D3E12" w:rsidRDefault="006E40DC" w:rsidP="007F22E0">
            <w:pPr>
              <w:pStyle w:val="Subheading"/>
              <w:rPr>
                <w:i/>
              </w:rPr>
            </w:pPr>
            <w:r w:rsidRPr="006D3E12">
              <w:rPr>
                <w:i/>
              </w:rPr>
              <w:t>Note</w:t>
            </w:r>
          </w:p>
        </w:tc>
        <w:tc>
          <w:tcPr>
            <w:tcW w:w="6945" w:type="dxa"/>
            <w:shd w:val="pct12" w:color="auto" w:fill="auto"/>
          </w:tcPr>
          <w:p w:rsidR="006E40DC" w:rsidRDefault="006E40DC" w:rsidP="007F22E0">
            <w:pPr>
              <w:pStyle w:val="BodyText"/>
            </w:pPr>
            <w:r>
              <w:t xml:space="preserve">The analysis of settlement discount to both net and tax only applies to Debtors Ledger and Creditors Ledger.  It only takes place for receipts and payments </w:t>
            </w:r>
            <w:r w:rsidRPr="006D3E12">
              <w:t xml:space="preserve">allocated </w:t>
            </w:r>
            <w:r>
              <w:t>prior to posting</w:t>
            </w:r>
            <w:r w:rsidR="002E1D9D">
              <w:t xml:space="preserve"> and those allocated via ‘A</w:t>
            </w:r>
            <w:r w:rsidR="001B23B8">
              <w:t>llocation wit</w:t>
            </w:r>
            <w:r w:rsidR="002E1D9D">
              <w:t>h discount</w:t>
            </w:r>
            <w:r w:rsidR="001B23B8">
              <w:t>’</w:t>
            </w:r>
            <w:r w:rsidR="00684641">
              <w:t xml:space="preserve"> type payment</w:t>
            </w:r>
            <w:r w:rsidR="00BE1ADF">
              <w:t>/receipt</w:t>
            </w:r>
            <w:r w:rsidR="00684641">
              <w:t xml:space="preserve"> batch</w:t>
            </w:r>
            <w:r w:rsidR="00BE1ADF">
              <w:t>es</w:t>
            </w:r>
            <w:r w:rsidRPr="006D3E12">
              <w:t xml:space="preserve">. </w:t>
            </w:r>
            <w:r>
              <w:t>It does not take place for item</w:t>
            </w:r>
            <w:r w:rsidR="00BE1ADF">
              <w:t>s</w:t>
            </w:r>
            <w:r w:rsidRPr="006D3E12">
              <w:t xml:space="preserve"> allocated via </w:t>
            </w:r>
            <w:r w:rsidR="001B23B8">
              <w:t>‘A</w:t>
            </w:r>
            <w:r w:rsidRPr="006D3E12">
              <w:t>llocation</w:t>
            </w:r>
            <w:r w:rsidR="001B23B8">
              <w:t xml:space="preserve"> without discount’</w:t>
            </w:r>
            <w:r w:rsidRPr="006D3E12">
              <w:t xml:space="preserve"> type batches.</w:t>
            </w:r>
          </w:p>
          <w:p w:rsidR="006E40DC" w:rsidRDefault="006E40DC" w:rsidP="007F22E0">
            <w:pPr>
              <w:pStyle w:val="BodyText"/>
            </w:pPr>
            <w:r>
              <w:t xml:space="preserve">If settlement discount is analysed to both net and tax the ‘GL analysis by batch’ option is skipped for payment and receipt batches and the General Ledger analysis is generated for each individual transaction in the batch. </w:t>
            </w:r>
          </w:p>
        </w:tc>
      </w:tr>
      <w:tr w:rsidR="006E40DC" w:rsidTr="007F22E0">
        <w:trPr>
          <w:cantSplit/>
        </w:trPr>
        <w:tc>
          <w:tcPr>
            <w:tcW w:w="2269" w:type="dxa"/>
          </w:tcPr>
          <w:p w:rsidR="006E40DC" w:rsidRDefault="006E40DC" w:rsidP="007F22E0">
            <w:pPr>
              <w:pStyle w:val="Subheading"/>
            </w:pPr>
            <w:r>
              <w:t>Analyse Debtors Ledger settlement discount on tax to output tax control accounts?</w:t>
            </w:r>
          </w:p>
        </w:tc>
        <w:tc>
          <w:tcPr>
            <w:tcW w:w="6945" w:type="dxa"/>
          </w:tcPr>
          <w:p w:rsidR="006E40DC" w:rsidRDefault="006E40DC" w:rsidP="007F22E0">
            <w:pPr>
              <w:pStyle w:val="BodyText"/>
            </w:pPr>
            <w:r w:rsidRPr="006D3E12">
              <w:rPr>
                <w:i/>
              </w:rPr>
              <w:t xml:space="preserve">(Only available if Debtors Ledger </w:t>
            </w:r>
            <w:r>
              <w:rPr>
                <w:i/>
              </w:rPr>
              <w:t xml:space="preserve">is in use and settlement discount taken is analysed to net and tax) </w:t>
            </w:r>
            <w:r w:rsidRPr="00B42AD2">
              <w:t xml:space="preserve">When set Debtors Ledger settlement discount on tax is analysed to the relevant output tax control accounts. When not set Debtors Ledger settlement discount on tax is analysed to a profit centre and account specified on the cash book control account relating to the </w:t>
            </w:r>
            <w:r>
              <w:t>receipt</w:t>
            </w:r>
            <w:r w:rsidRPr="00B42AD2">
              <w:t xml:space="preserve"> being posted.</w:t>
            </w:r>
          </w:p>
        </w:tc>
      </w:tr>
      <w:tr w:rsidR="006E40DC" w:rsidTr="007F22E0">
        <w:trPr>
          <w:cantSplit/>
        </w:trPr>
        <w:tc>
          <w:tcPr>
            <w:tcW w:w="2269" w:type="dxa"/>
          </w:tcPr>
          <w:p w:rsidR="006E40DC" w:rsidRPr="0066721D" w:rsidRDefault="006E40DC" w:rsidP="007F22E0">
            <w:pPr>
              <w:pStyle w:val="Subheading"/>
              <w:rPr>
                <w:i/>
              </w:rPr>
            </w:pPr>
            <w:r w:rsidRPr="0066721D">
              <w:rPr>
                <w:i/>
              </w:rPr>
              <w:t>Note</w:t>
            </w:r>
          </w:p>
        </w:tc>
        <w:tc>
          <w:tcPr>
            <w:tcW w:w="6945" w:type="dxa"/>
            <w:shd w:val="pct12" w:color="auto" w:fill="auto"/>
          </w:tcPr>
          <w:p w:rsidR="006E40DC" w:rsidRPr="0066721D" w:rsidRDefault="006E40DC" w:rsidP="007F22E0">
            <w:pPr>
              <w:pStyle w:val="BodyText"/>
            </w:pPr>
            <w:r>
              <w:t>Regardless of the above setting, when settlement discount on tax is posted to General Ledger tax class OD (output discount) is used.</w:t>
            </w:r>
          </w:p>
        </w:tc>
      </w:tr>
      <w:tr w:rsidR="006E40DC" w:rsidTr="007F22E0">
        <w:trPr>
          <w:cantSplit/>
        </w:trPr>
        <w:tc>
          <w:tcPr>
            <w:tcW w:w="2269" w:type="dxa"/>
          </w:tcPr>
          <w:p w:rsidR="006E40DC" w:rsidRDefault="006E40DC" w:rsidP="007F22E0">
            <w:pPr>
              <w:pStyle w:val="Subheading"/>
            </w:pPr>
            <w:r>
              <w:t>Analyse Creditors Ledger settlement discount on tax to input tax control accounts?</w:t>
            </w:r>
          </w:p>
        </w:tc>
        <w:tc>
          <w:tcPr>
            <w:tcW w:w="6945" w:type="dxa"/>
          </w:tcPr>
          <w:p w:rsidR="006E40DC" w:rsidRDefault="006E40DC" w:rsidP="007F22E0">
            <w:pPr>
              <w:pStyle w:val="BodyText"/>
            </w:pPr>
            <w:r w:rsidRPr="006D3E12">
              <w:rPr>
                <w:i/>
              </w:rPr>
              <w:t>(Only available if</w:t>
            </w:r>
            <w:r>
              <w:rPr>
                <w:i/>
              </w:rPr>
              <w:t xml:space="preserve"> Creditors</w:t>
            </w:r>
            <w:r w:rsidRPr="006D3E12">
              <w:rPr>
                <w:i/>
              </w:rPr>
              <w:t xml:space="preserve"> Ledger </w:t>
            </w:r>
            <w:r>
              <w:rPr>
                <w:i/>
              </w:rPr>
              <w:t xml:space="preserve">is in use and settlement discount taken is analysed to net and tax) </w:t>
            </w:r>
            <w:r w:rsidRPr="00B42AD2">
              <w:t xml:space="preserve">When set </w:t>
            </w:r>
            <w:r>
              <w:t>Creditors</w:t>
            </w:r>
            <w:r w:rsidRPr="00B42AD2">
              <w:t xml:space="preserve"> Ledger settlement discount on tax is analysed to the relevant </w:t>
            </w:r>
            <w:r>
              <w:t>in</w:t>
            </w:r>
            <w:r w:rsidRPr="00B42AD2">
              <w:t xml:space="preserve">put tax control accounts. When not set </w:t>
            </w:r>
            <w:r>
              <w:t>Creditors</w:t>
            </w:r>
            <w:r w:rsidRPr="00B42AD2">
              <w:t xml:space="preserve"> Ledger settlement discount on tax is analysed to a profit centre and account specified on the cash book control account relating to the </w:t>
            </w:r>
            <w:r>
              <w:t>payment</w:t>
            </w:r>
            <w:r w:rsidRPr="00B42AD2">
              <w:t xml:space="preserve"> being posted.</w:t>
            </w:r>
          </w:p>
        </w:tc>
      </w:tr>
      <w:tr w:rsidR="006E40DC" w:rsidTr="007F22E0">
        <w:trPr>
          <w:cantSplit/>
        </w:trPr>
        <w:tc>
          <w:tcPr>
            <w:tcW w:w="2269" w:type="dxa"/>
          </w:tcPr>
          <w:p w:rsidR="006E40DC" w:rsidRPr="0066721D" w:rsidRDefault="006E40DC" w:rsidP="007F22E0">
            <w:pPr>
              <w:pStyle w:val="Subheading"/>
              <w:rPr>
                <w:i/>
              </w:rPr>
            </w:pPr>
            <w:r w:rsidRPr="0066721D">
              <w:rPr>
                <w:i/>
              </w:rPr>
              <w:t>Note</w:t>
            </w:r>
          </w:p>
        </w:tc>
        <w:tc>
          <w:tcPr>
            <w:tcW w:w="6945" w:type="dxa"/>
            <w:shd w:val="pct12" w:color="auto" w:fill="auto"/>
          </w:tcPr>
          <w:p w:rsidR="006E40DC" w:rsidRPr="0066721D" w:rsidRDefault="006E40DC" w:rsidP="007F22E0">
            <w:pPr>
              <w:pStyle w:val="BodyText"/>
            </w:pPr>
            <w:r>
              <w:t>Regardless of the above setting, when settlement discount on tax is posted to General Ledger tax class ID (input discount) is used.</w:t>
            </w:r>
          </w:p>
        </w:tc>
      </w:tr>
    </w:tbl>
    <w:p w:rsidR="00FF109B" w:rsidRDefault="00FF109B">
      <w:pPr>
        <w:rPr>
          <w:rFonts w:ascii="Arial" w:hAnsi="Arial"/>
          <w:b/>
          <w:sz w:val="22"/>
        </w:rPr>
      </w:pPr>
    </w:p>
    <w:p w:rsidR="00FF109B" w:rsidRDefault="0072097E" w:rsidP="00FF109B">
      <w:pPr>
        <w:pStyle w:val="Heading3"/>
        <w:ind w:left="0"/>
      </w:pPr>
      <w:r>
        <w:br w:type="page"/>
      </w:r>
      <w:r w:rsidR="00FF109B">
        <w:lastRenderedPageBreak/>
        <w:t xml:space="preserve">DL </w:t>
      </w:r>
      <w:r w:rsidR="0051065B">
        <w:t>Transaction Entry</w:t>
      </w:r>
      <w:r w:rsidR="00FF109B">
        <w:t xml:space="preserve"> – </w:t>
      </w:r>
      <w:r w:rsidR="0051065B">
        <w:t>Batch Type Selection</w:t>
      </w:r>
    </w:p>
    <w:p w:rsidR="001E38BE" w:rsidRDefault="001E38BE" w:rsidP="00FF109B">
      <w:pPr>
        <w:rPr>
          <w:i/>
          <w:iCs/>
        </w:rPr>
      </w:pPr>
    </w:p>
    <w:p w:rsidR="00FF109B" w:rsidRDefault="0072097E" w:rsidP="00FF109B">
      <w:pPr>
        <w:rPr>
          <w:i/>
          <w:iCs/>
        </w:rPr>
      </w:pPr>
      <w:r>
        <w:rPr>
          <w:i/>
          <w:iCs/>
        </w:rPr>
        <w:t xml:space="preserve"> </w:t>
      </w:r>
      <w:r w:rsidR="006A586C">
        <w:rPr>
          <w:noProof/>
        </w:rPr>
        <w:pict>
          <v:shape id="_x0000_i1026" type="#_x0000_t75" style="width:216.75pt;height:318.75pt;visibility:visible;mso-wrap-style:square">
            <v:imagedata r:id="rId12" o:title=""/>
          </v:shape>
        </w:pict>
      </w:r>
    </w:p>
    <w:p w:rsidR="001E38BE" w:rsidRDefault="001E38BE" w:rsidP="00FF109B">
      <w:pPr>
        <w:rPr>
          <w:i/>
          <w:iCs/>
        </w:rPr>
      </w:pP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FF109B" w:rsidTr="007F22E0">
        <w:trPr>
          <w:cantSplit/>
        </w:trPr>
        <w:tc>
          <w:tcPr>
            <w:tcW w:w="2410" w:type="dxa"/>
          </w:tcPr>
          <w:p w:rsidR="00FF109B" w:rsidRDefault="000E53E0" w:rsidP="00BD3F7D">
            <w:pPr>
              <w:pStyle w:val="Subheading"/>
            </w:pPr>
            <w:r>
              <w:t xml:space="preserve">Allocation </w:t>
            </w:r>
          </w:p>
        </w:tc>
        <w:tc>
          <w:tcPr>
            <w:tcW w:w="7092" w:type="dxa"/>
          </w:tcPr>
          <w:p w:rsidR="00FF109B" w:rsidRDefault="00C66DD5" w:rsidP="00C66DD5">
            <w:pPr>
              <w:pStyle w:val="BodyText"/>
            </w:pPr>
            <w:r w:rsidRPr="006D3E12">
              <w:rPr>
                <w:i/>
              </w:rPr>
              <w:t>(</w:t>
            </w:r>
            <w:r>
              <w:rPr>
                <w:i/>
              </w:rPr>
              <w:t>Not</w:t>
            </w:r>
            <w:r w:rsidRPr="006D3E12">
              <w:rPr>
                <w:i/>
              </w:rPr>
              <w:t xml:space="preserve"> available if</w:t>
            </w:r>
            <w:r>
              <w:rPr>
                <w:i/>
              </w:rPr>
              <w:t xml:space="preserve"> settlement discount taken is analysed to net and tax)</w:t>
            </w:r>
            <w:r>
              <w:t xml:space="preserve"> Select this to enter an allocations batch.</w:t>
            </w:r>
          </w:p>
        </w:tc>
      </w:tr>
      <w:tr w:rsidR="000E53E0" w:rsidTr="007F22E0">
        <w:trPr>
          <w:cantSplit/>
        </w:trPr>
        <w:tc>
          <w:tcPr>
            <w:tcW w:w="2410" w:type="dxa"/>
          </w:tcPr>
          <w:p w:rsidR="000E53E0" w:rsidRDefault="00C66DD5" w:rsidP="00BD3F7D">
            <w:pPr>
              <w:pStyle w:val="Subheading"/>
            </w:pPr>
            <w:r>
              <w:t>Allocation without discount</w:t>
            </w:r>
          </w:p>
        </w:tc>
        <w:tc>
          <w:tcPr>
            <w:tcW w:w="7092" w:type="dxa"/>
          </w:tcPr>
          <w:p w:rsidR="000E53E0" w:rsidRPr="00C66DD5" w:rsidRDefault="00C66DD5" w:rsidP="00C66DD5">
            <w:pPr>
              <w:pStyle w:val="BodyText"/>
            </w:pPr>
            <w:r w:rsidRPr="006D3E12">
              <w:rPr>
                <w:i/>
              </w:rPr>
              <w:t>(</w:t>
            </w:r>
            <w:r>
              <w:rPr>
                <w:i/>
              </w:rPr>
              <w:t>Only</w:t>
            </w:r>
            <w:r w:rsidRPr="006D3E12">
              <w:rPr>
                <w:i/>
              </w:rPr>
              <w:t xml:space="preserve"> available if</w:t>
            </w:r>
            <w:r>
              <w:rPr>
                <w:i/>
              </w:rPr>
              <w:t xml:space="preserve"> settlement discount taken is analysed to net and tax)</w:t>
            </w:r>
            <w:r>
              <w:t xml:space="preserve"> Select this to enter an allocations batch, however when using this option you cannot select any transactions that have settlement discount.  </w:t>
            </w:r>
          </w:p>
        </w:tc>
      </w:tr>
      <w:tr w:rsidR="000E53E0" w:rsidTr="007F22E0">
        <w:trPr>
          <w:cantSplit/>
        </w:trPr>
        <w:tc>
          <w:tcPr>
            <w:tcW w:w="2410" w:type="dxa"/>
          </w:tcPr>
          <w:p w:rsidR="000E53E0" w:rsidRDefault="00C66DD5" w:rsidP="00BD3F7D">
            <w:pPr>
              <w:pStyle w:val="Subheading"/>
            </w:pPr>
            <w:r>
              <w:t>Allocation with discount</w:t>
            </w:r>
          </w:p>
        </w:tc>
        <w:tc>
          <w:tcPr>
            <w:tcW w:w="7092" w:type="dxa"/>
          </w:tcPr>
          <w:p w:rsidR="000E53E0" w:rsidRDefault="00C66DD5" w:rsidP="009708C5">
            <w:pPr>
              <w:pStyle w:val="BodyText"/>
            </w:pPr>
            <w:r w:rsidRPr="006D3E12">
              <w:rPr>
                <w:i/>
              </w:rPr>
              <w:t>(</w:t>
            </w:r>
            <w:r>
              <w:rPr>
                <w:i/>
              </w:rPr>
              <w:t>Only</w:t>
            </w:r>
            <w:r w:rsidRPr="006D3E12">
              <w:rPr>
                <w:i/>
              </w:rPr>
              <w:t xml:space="preserve"> available if</w:t>
            </w:r>
            <w:r>
              <w:rPr>
                <w:i/>
              </w:rPr>
              <w:t xml:space="preserve"> settlement discount taken is analysed to net and tax)</w:t>
            </w:r>
            <w:r>
              <w:t xml:space="preserve"> Select this to enter a special receipts batch for the purpose of allocation</w:t>
            </w:r>
            <w:r w:rsidR="009708C5">
              <w:t>. This should be used</w:t>
            </w:r>
            <w:r>
              <w:t xml:space="preserve"> where settlement discount </w:t>
            </w:r>
            <w:r w:rsidR="009708C5">
              <w:t>has been taken and the tax on the discount is to be reclaimed</w:t>
            </w:r>
            <w:r w:rsidR="00CB329B">
              <w:t xml:space="preserve">.  </w:t>
            </w:r>
          </w:p>
        </w:tc>
      </w:tr>
      <w:tr w:rsidR="00FF109B" w:rsidTr="007F22E0">
        <w:trPr>
          <w:cantSplit/>
        </w:trPr>
        <w:tc>
          <w:tcPr>
            <w:tcW w:w="2410" w:type="dxa"/>
          </w:tcPr>
          <w:p w:rsidR="00FF109B" w:rsidRPr="00BF3DD0" w:rsidRDefault="00FF109B" w:rsidP="007F22E0">
            <w:pPr>
              <w:pStyle w:val="Subheading"/>
              <w:rPr>
                <w:i/>
              </w:rPr>
            </w:pPr>
            <w:r w:rsidRPr="00BF3DD0">
              <w:rPr>
                <w:i/>
              </w:rPr>
              <w:t>Note</w:t>
            </w:r>
          </w:p>
        </w:tc>
        <w:tc>
          <w:tcPr>
            <w:tcW w:w="7092" w:type="dxa"/>
            <w:shd w:val="pct12" w:color="auto" w:fill="auto"/>
          </w:tcPr>
          <w:p w:rsidR="00FF109B" w:rsidRDefault="00CB329B" w:rsidP="00BE1ADF">
            <w:pPr>
              <w:pStyle w:val="BodyText"/>
            </w:pPr>
            <w:r>
              <w:t>Receipts generated for allocation purposes are zero valued and have their own auto-generated document number (the prefix which defaults to ‘A</w:t>
            </w:r>
            <w:r w:rsidR="00BE1ADF">
              <w:t>R</w:t>
            </w:r>
            <w:r>
              <w:t xml:space="preserve">’ and next number can be adjusted within system parameters if required).  Standard allocation batches cannot be used when settlement discount is analysed to net and tax because if tax is reclaimed it must be posted on to general ledger via a receipt.  </w:t>
            </w:r>
          </w:p>
        </w:tc>
      </w:tr>
    </w:tbl>
    <w:p w:rsidR="001E38BE" w:rsidRDefault="001E38BE">
      <w:pPr>
        <w:rPr>
          <w:rFonts w:ascii="Arial" w:hAnsi="Arial"/>
          <w:b/>
          <w:sz w:val="22"/>
        </w:rPr>
      </w:pPr>
    </w:p>
    <w:p w:rsidR="00303A9E" w:rsidRDefault="0072097E" w:rsidP="001E38BE">
      <w:r>
        <w:br w:type="page"/>
      </w:r>
    </w:p>
    <w:p w:rsidR="00303A9E" w:rsidRDefault="00303A9E" w:rsidP="00303A9E">
      <w:pPr>
        <w:pStyle w:val="Heading3"/>
        <w:ind w:left="0"/>
      </w:pPr>
      <w:r>
        <w:t>CL Transaction Entry – Batch Type Selection</w:t>
      </w:r>
    </w:p>
    <w:p w:rsidR="00303A9E" w:rsidRDefault="00303A9E" w:rsidP="00303A9E">
      <w:pPr>
        <w:rPr>
          <w:i/>
          <w:iCs/>
        </w:rPr>
      </w:pPr>
    </w:p>
    <w:p w:rsidR="00303A9E" w:rsidRDefault="006A586C" w:rsidP="00303A9E">
      <w:pPr>
        <w:rPr>
          <w:noProof/>
        </w:rPr>
      </w:pPr>
      <w:r>
        <w:rPr>
          <w:noProof/>
        </w:rPr>
        <w:pict>
          <v:shape id="_x0000_i1027" type="#_x0000_t75" style="width:218.25pt;height:321pt;visibility:visible;mso-wrap-style:square">
            <v:imagedata r:id="rId13" o:title=""/>
          </v:shape>
        </w:pict>
      </w:r>
    </w:p>
    <w:p w:rsidR="0072097E" w:rsidRDefault="0072097E" w:rsidP="00303A9E">
      <w:pPr>
        <w:rPr>
          <w:i/>
          <w:iCs/>
        </w:rPr>
      </w:pP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303A9E" w:rsidTr="007F22E0">
        <w:trPr>
          <w:cantSplit/>
        </w:trPr>
        <w:tc>
          <w:tcPr>
            <w:tcW w:w="2410" w:type="dxa"/>
          </w:tcPr>
          <w:p w:rsidR="00303A9E" w:rsidRDefault="00303A9E" w:rsidP="007F22E0">
            <w:pPr>
              <w:pStyle w:val="Subheading"/>
            </w:pPr>
            <w:r>
              <w:t xml:space="preserve">Allocation </w:t>
            </w:r>
          </w:p>
        </w:tc>
        <w:tc>
          <w:tcPr>
            <w:tcW w:w="7092" w:type="dxa"/>
          </w:tcPr>
          <w:p w:rsidR="00303A9E" w:rsidRDefault="00303A9E" w:rsidP="007F22E0">
            <w:pPr>
              <w:pStyle w:val="BodyText"/>
            </w:pPr>
            <w:r w:rsidRPr="006D3E12">
              <w:rPr>
                <w:i/>
              </w:rPr>
              <w:t>(</w:t>
            </w:r>
            <w:r>
              <w:rPr>
                <w:i/>
              </w:rPr>
              <w:t>Not</w:t>
            </w:r>
            <w:r w:rsidRPr="006D3E12">
              <w:rPr>
                <w:i/>
              </w:rPr>
              <w:t xml:space="preserve"> available if</w:t>
            </w:r>
            <w:r>
              <w:rPr>
                <w:i/>
              </w:rPr>
              <w:t xml:space="preserve"> settlement discount taken is analysed to net and tax)</w:t>
            </w:r>
            <w:r>
              <w:t xml:space="preserve"> Select this to enter an allocations batch.</w:t>
            </w:r>
          </w:p>
        </w:tc>
      </w:tr>
      <w:tr w:rsidR="00303A9E" w:rsidTr="007F22E0">
        <w:trPr>
          <w:cantSplit/>
        </w:trPr>
        <w:tc>
          <w:tcPr>
            <w:tcW w:w="2410" w:type="dxa"/>
          </w:tcPr>
          <w:p w:rsidR="00303A9E" w:rsidRDefault="00303A9E" w:rsidP="007F22E0">
            <w:pPr>
              <w:pStyle w:val="Subheading"/>
            </w:pPr>
            <w:r>
              <w:t>Allocation without discount</w:t>
            </w:r>
          </w:p>
        </w:tc>
        <w:tc>
          <w:tcPr>
            <w:tcW w:w="7092" w:type="dxa"/>
          </w:tcPr>
          <w:p w:rsidR="00303A9E" w:rsidRPr="00C66DD5" w:rsidRDefault="00303A9E" w:rsidP="007F22E0">
            <w:pPr>
              <w:pStyle w:val="BodyText"/>
            </w:pPr>
            <w:r w:rsidRPr="006D3E12">
              <w:rPr>
                <w:i/>
              </w:rPr>
              <w:t>(</w:t>
            </w:r>
            <w:r>
              <w:rPr>
                <w:i/>
              </w:rPr>
              <w:t>Only</w:t>
            </w:r>
            <w:r w:rsidRPr="006D3E12">
              <w:rPr>
                <w:i/>
              </w:rPr>
              <w:t xml:space="preserve"> available if</w:t>
            </w:r>
            <w:r>
              <w:rPr>
                <w:i/>
              </w:rPr>
              <w:t xml:space="preserve"> settlement discount taken is analysed to net and tax)</w:t>
            </w:r>
            <w:r>
              <w:t xml:space="preserve"> Select this to enter an allocations batch, however when using this option you cannot select any transactions that have settlement discount.  </w:t>
            </w:r>
          </w:p>
        </w:tc>
      </w:tr>
      <w:tr w:rsidR="00303A9E" w:rsidTr="007F22E0">
        <w:trPr>
          <w:cantSplit/>
        </w:trPr>
        <w:tc>
          <w:tcPr>
            <w:tcW w:w="2410" w:type="dxa"/>
          </w:tcPr>
          <w:p w:rsidR="00303A9E" w:rsidRDefault="00303A9E" w:rsidP="007F22E0">
            <w:pPr>
              <w:pStyle w:val="Subheading"/>
            </w:pPr>
            <w:r>
              <w:t>Allocation with discount</w:t>
            </w:r>
          </w:p>
        </w:tc>
        <w:tc>
          <w:tcPr>
            <w:tcW w:w="7092" w:type="dxa"/>
          </w:tcPr>
          <w:p w:rsidR="00303A9E" w:rsidRDefault="00303A9E" w:rsidP="00303A9E">
            <w:pPr>
              <w:pStyle w:val="BodyText"/>
            </w:pPr>
            <w:r w:rsidRPr="006D3E12">
              <w:rPr>
                <w:i/>
              </w:rPr>
              <w:t>(</w:t>
            </w:r>
            <w:r>
              <w:rPr>
                <w:i/>
              </w:rPr>
              <w:t>Only</w:t>
            </w:r>
            <w:r w:rsidRPr="006D3E12">
              <w:rPr>
                <w:i/>
              </w:rPr>
              <w:t xml:space="preserve"> available if</w:t>
            </w:r>
            <w:r>
              <w:rPr>
                <w:i/>
              </w:rPr>
              <w:t xml:space="preserve"> settlement discount taken is analysed to net and tax)</w:t>
            </w:r>
            <w:r>
              <w:t xml:space="preserve"> Select this to enter a special payments batch for the purpose of allocation. This should be used where settlement discount has been taken and the tax on the discount is to be reclaimed.  </w:t>
            </w:r>
          </w:p>
        </w:tc>
      </w:tr>
      <w:tr w:rsidR="00303A9E" w:rsidTr="007F22E0">
        <w:trPr>
          <w:cantSplit/>
        </w:trPr>
        <w:tc>
          <w:tcPr>
            <w:tcW w:w="2410" w:type="dxa"/>
          </w:tcPr>
          <w:p w:rsidR="00303A9E" w:rsidRPr="00BF3DD0" w:rsidRDefault="00303A9E" w:rsidP="007F22E0">
            <w:pPr>
              <w:pStyle w:val="Subheading"/>
              <w:rPr>
                <w:i/>
              </w:rPr>
            </w:pPr>
            <w:r w:rsidRPr="00BF3DD0">
              <w:rPr>
                <w:i/>
              </w:rPr>
              <w:t>Note</w:t>
            </w:r>
          </w:p>
        </w:tc>
        <w:tc>
          <w:tcPr>
            <w:tcW w:w="7092" w:type="dxa"/>
            <w:shd w:val="pct12" w:color="auto" w:fill="auto"/>
          </w:tcPr>
          <w:p w:rsidR="00303A9E" w:rsidRDefault="00303A9E" w:rsidP="00BE1ADF">
            <w:pPr>
              <w:pStyle w:val="BodyText"/>
            </w:pPr>
            <w:r>
              <w:t>Payments generated for allocation purposes are zero valued and have their own auto-generated document number (the prefix which defaults to ‘A</w:t>
            </w:r>
            <w:r w:rsidR="00BE1ADF">
              <w:t>P</w:t>
            </w:r>
            <w:r>
              <w:t xml:space="preserve">’ and next number can be adjusted within system parameters if required).  Standard allocation batches cannot be used when settlement discount is analysed to net and tax because if tax is reclaimed it must be posted on to general ledger via a payment.  </w:t>
            </w:r>
          </w:p>
        </w:tc>
      </w:tr>
    </w:tbl>
    <w:p w:rsidR="00303A9E" w:rsidRDefault="00303A9E" w:rsidP="00303A9E">
      <w:pPr>
        <w:rPr>
          <w:rFonts w:ascii="Arial" w:hAnsi="Arial"/>
          <w:b/>
          <w:sz w:val="22"/>
        </w:rPr>
      </w:pPr>
    </w:p>
    <w:p w:rsidR="00FF109B" w:rsidRPr="008E645B" w:rsidRDefault="001E38BE" w:rsidP="001E38BE">
      <w:r>
        <w:br w:type="page"/>
      </w:r>
    </w:p>
    <w:p w:rsidR="009A69B4" w:rsidRDefault="009A69B4" w:rsidP="009A69B4">
      <w:pPr>
        <w:pStyle w:val="Heading3"/>
        <w:ind w:left="0"/>
      </w:pPr>
      <w:r>
        <w:t>DL System Parameters – Document Numbers</w:t>
      </w:r>
    </w:p>
    <w:p w:rsidR="001E38BE" w:rsidRDefault="00AE60C8" w:rsidP="009A69B4">
      <w:pPr>
        <w:rPr>
          <w:i/>
          <w:iCs/>
        </w:rPr>
      </w:pPr>
      <w:r>
        <w:rPr>
          <w:noProof/>
        </w:rPr>
        <w:pict>
          <v:shape id="_x0000_i1028" type="#_x0000_t75" style="width:468pt;height:387pt;visibility:visible;mso-wrap-style:square">
            <v:imagedata r:id="rId14" o:title=""/>
          </v:shape>
        </w:pict>
      </w:r>
    </w:p>
    <w:p w:rsidR="0072097E" w:rsidRDefault="0072097E" w:rsidP="009A69B4">
      <w:pPr>
        <w:rPr>
          <w:i/>
          <w:iCs/>
        </w:rPr>
      </w:pP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9627E4" w:rsidTr="009627E4">
        <w:trPr>
          <w:cantSplit/>
        </w:trPr>
        <w:tc>
          <w:tcPr>
            <w:tcW w:w="2410" w:type="dxa"/>
          </w:tcPr>
          <w:p w:rsidR="009627E4" w:rsidRDefault="009627E4">
            <w:pPr>
              <w:pStyle w:val="subheading0"/>
            </w:pPr>
            <w:r>
              <w:t>Purpose</w:t>
            </w:r>
          </w:p>
        </w:tc>
        <w:tc>
          <w:tcPr>
            <w:tcW w:w="7092" w:type="dxa"/>
          </w:tcPr>
          <w:p w:rsidR="009627E4" w:rsidRPr="009627E4" w:rsidRDefault="009627E4" w:rsidP="002E0421">
            <w:pPr>
              <w:pStyle w:val="body-text"/>
              <w:ind w:left="0"/>
              <w:rPr>
                <w:rFonts w:ascii="Times New Roman" w:hAnsi="Times New Roman" w:cs="Times New Roman"/>
                <w:sz w:val="20"/>
                <w:szCs w:val="20"/>
              </w:rPr>
            </w:pPr>
            <w:r>
              <w:rPr>
                <w:rFonts w:ascii="Times New Roman" w:hAnsi="Times New Roman" w:cs="Times New Roman"/>
                <w:sz w:val="20"/>
                <w:szCs w:val="20"/>
              </w:rPr>
              <w:t>T</w:t>
            </w:r>
            <w:r w:rsidRPr="009627E4">
              <w:rPr>
                <w:rFonts w:ascii="Times New Roman" w:hAnsi="Times New Roman" w:cs="Times New Roman"/>
                <w:sz w:val="20"/>
                <w:szCs w:val="20"/>
              </w:rPr>
              <w:t xml:space="preserve">he </w:t>
            </w:r>
            <w:r>
              <w:rPr>
                <w:rFonts w:ascii="Times New Roman" w:hAnsi="Times New Roman" w:cs="Times New Roman"/>
                <w:sz w:val="20"/>
                <w:szCs w:val="20"/>
              </w:rPr>
              <w:t>settings</w:t>
            </w:r>
            <w:r w:rsidRPr="009627E4">
              <w:rPr>
                <w:rFonts w:ascii="Times New Roman" w:hAnsi="Times New Roman" w:cs="Times New Roman"/>
                <w:sz w:val="20"/>
                <w:szCs w:val="20"/>
              </w:rPr>
              <w:t xml:space="preserve"> in this window control document numbers for invoices, credit notes, </w:t>
            </w:r>
            <w:r>
              <w:rPr>
                <w:rFonts w:ascii="Times New Roman" w:hAnsi="Times New Roman" w:cs="Times New Roman"/>
                <w:sz w:val="20"/>
                <w:szCs w:val="20"/>
              </w:rPr>
              <w:t>receipts</w:t>
            </w:r>
            <w:r w:rsidRPr="009627E4">
              <w:rPr>
                <w:rFonts w:ascii="Times New Roman" w:hAnsi="Times New Roman" w:cs="Times New Roman"/>
                <w:sz w:val="20"/>
                <w:szCs w:val="20"/>
              </w:rPr>
              <w:t>, credit claims</w:t>
            </w:r>
            <w:r w:rsidR="002E0421">
              <w:rPr>
                <w:rFonts w:ascii="Times New Roman" w:hAnsi="Times New Roman" w:cs="Times New Roman"/>
                <w:sz w:val="20"/>
                <w:szCs w:val="20"/>
              </w:rPr>
              <w:t>,</w:t>
            </w:r>
            <w:r w:rsidRPr="009627E4">
              <w:rPr>
                <w:rFonts w:ascii="Times New Roman" w:hAnsi="Times New Roman" w:cs="Times New Roman"/>
                <w:sz w:val="20"/>
                <w:szCs w:val="20"/>
              </w:rPr>
              <w:t xml:space="preserve"> journals</w:t>
            </w:r>
            <w:r>
              <w:rPr>
                <w:rFonts w:ascii="Times New Roman" w:hAnsi="Times New Roman" w:cs="Times New Roman"/>
                <w:sz w:val="20"/>
                <w:szCs w:val="20"/>
              </w:rPr>
              <w:t xml:space="preserve"> and receipts used for allocation purposes</w:t>
            </w:r>
            <w:r w:rsidRPr="009627E4">
              <w:rPr>
                <w:rFonts w:ascii="Times New Roman" w:hAnsi="Times New Roman" w:cs="Times New Roman"/>
                <w:sz w:val="20"/>
                <w:szCs w:val="20"/>
              </w:rPr>
              <w:t>. Document numbers provide each transaction with a unique id.</w:t>
            </w:r>
          </w:p>
        </w:tc>
      </w:tr>
      <w:tr w:rsidR="009627E4" w:rsidTr="009627E4">
        <w:trPr>
          <w:cantSplit/>
        </w:trPr>
        <w:tc>
          <w:tcPr>
            <w:tcW w:w="2410" w:type="dxa"/>
          </w:tcPr>
          <w:p w:rsidR="009627E4" w:rsidRPr="009627E4" w:rsidRDefault="009627E4">
            <w:pPr>
              <w:pStyle w:val="window0"/>
              <w:rPr>
                <w:b/>
                <w:sz w:val="20"/>
                <w:szCs w:val="20"/>
              </w:rPr>
            </w:pPr>
            <w:r w:rsidRPr="009627E4">
              <w:rPr>
                <w:b/>
                <w:sz w:val="20"/>
                <w:szCs w:val="20"/>
              </w:rPr>
              <w:t>Note</w:t>
            </w:r>
          </w:p>
        </w:tc>
        <w:tc>
          <w:tcPr>
            <w:tcW w:w="7092" w:type="dxa"/>
            <w:shd w:val="pct12" w:color="auto" w:fill="auto"/>
          </w:tcPr>
          <w:p w:rsidR="009627E4" w:rsidRPr="009627E4" w:rsidRDefault="009627E4" w:rsidP="009627E4">
            <w:pPr>
              <w:pStyle w:val="body-text"/>
              <w:ind w:left="0"/>
              <w:rPr>
                <w:rFonts w:ascii="Times New Roman" w:hAnsi="Times New Roman" w:cs="Times New Roman"/>
                <w:sz w:val="20"/>
                <w:szCs w:val="20"/>
              </w:rPr>
            </w:pPr>
            <w:r w:rsidRPr="009627E4">
              <w:rPr>
                <w:rFonts w:ascii="Times New Roman" w:hAnsi="Times New Roman" w:cs="Times New Roman"/>
                <w:sz w:val="20"/>
                <w:szCs w:val="20"/>
              </w:rPr>
              <w:t>The parameters in this window are company-specific. This means they only apply to the currently selected company. The code of the currently selected company is displayed in the window's title bar. You need to set the parameters up for each company in turn. To change the company, return to the Debtors Ledger Parameters Menu, and choose the Reselect Company option.</w:t>
            </w:r>
          </w:p>
        </w:tc>
      </w:tr>
      <w:tr w:rsidR="009627E4" w:rsidTr="009627E4">
        <w:trPr>
          <w:cantSplit/>
        </w:trPr>
        <w:tc>
          <w:tcPr>
            <w:tcW w:w="2410" w:type="dxa"/>
          </w:tcPr>
          <w:p w:rsidR="009627E4" w:rsidRPr="009627E4" w:rsidRDefault="009627E4">
            <w:pPr>
              <w:pStyle w:val="window0"/>
              <w:rPr>
                <w:b/>
                <w:sz w:val="20"/>
                <w:szCs w:val="20"/>
              </w:rPr>
            </w:pPr>
            <w:r w:rsidRPr="009627E4">
              <w:rPr>
                <w:b/>
                <w:sz w:val="20"/>
                <w:szCs w:val="20"/>
              </w:rPr>
              <w:t>Warning</w:t>
            </w:r>
          </w:p>
        </w:tc>
        <w:tc>
          <w:tcPr>
            <w:tcW w:w="7092" w:type="dxa"/>
            <w:shd w:val="pct12" w:color="auto" w:fill="auto"/>
          </w:tcPr>
          <w:p w:rsidR="009627E4" w:rsidRPr="009627E4" w:rsidRDefault="009627E4" w:rsidP="009627E4">
            <w:pPr>
              <w:pStyle w:val="body-text"/>
              <w:ind w:left="0"/>
              <w:rPr>
                <w:rFonts w:ascii="Times New Roman" w:hAnsi="Times New Roman" w:cs="Times New Roman"/>
                <w:sz w:val="20"/>
                <w:szCs w:val="20"/>
              </w:rPr>
            </w:pPr>
            <w:r w:rsidRPr="009627E4">
              <w:rPr>
                <w:rFonts w:ascii="Times New Roman" w:hAnsi="Times New Roman" w:cs="Times New Roman"/>
                <w:sz w:val="20"/>
                <w:szCs w:val="20"/>
              </w:rPr>
              <w:t>Generally you should not change the settings in this window after initial set up. If you do need to change any of them, take great care to avoid duplicate references being generated.</w:t>
            </w:r>
          </w:p>
        </w:tc>
      </w:tr>
    </w:tbl>
    <w:p w:rsidR="009627E4" w:rsidRDefault="009627E4" w:rsidP="009627E4">
      <w:pPr>
        <w:pStyle w:val="Subheading3"/>
      </w:pPr>
      <w:r>
        <w:t>The first prompt is:</w:t>
      </w: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9627E4" w:rsidTr="007F22E0">
        <w:trPr>
          <w:cantSplit/>
        </w:trPr>
        <w:tc>
          <w:tcPr>
            <w:tcW w:w="2410" w:type="dxa"/>
          </w:tcPr>
          <w:p w:rsidR="009627E4" w:rsidRDefault="009627E4">
            <w:pPr>
              <w:pStyle w:val="subheading0"/>
            </w:pPr>
            <w:r>
              <w:t>Right justify document numbers</w:t>
            </w:r>
          </w:p>
        </w:tc>
        <w:tc>
          <w:tcPr>
            <w:tcW w:w="7092" w:type="dxa"/>
          </w:tcPr>
          <w:p w:rsidR="009627E4" w:rsidRPr="009627E4" w:rsidRDefault="009627E4" w:rsidP="009627E4">
            <w:pPr>
              <w:pStyle w:val="body-text"/>
              <w:ind w:left="0"/>
              <w:rPr>
                <w:rFonts w:ascii="Times New Roman" w:hAnsi="Times New Roman" w:cs="Times New Roman"/>
                <w:sz w:val="20"/>
                <w:szCs w:val="20"/>
              </w:rPr>
            </w:pPr>
            <w:r w:rsidRPr="009627E4">
              <w:rPr>
                <w:rFonts w:ascii="Times New Roman" w:hAnsi="Times New Roman" w:cs="Times New Roman"/>
                <w:sz w:val="20"/>
                <w:szCs w:val="20"/>
              </w:rPr>
              <w:t>Set this if you are using numeric document numbers. This does not affect document numbers which use a prefix, as the numeric part of the number is automatically right-justified.</w:t>
            </w:r>
          </w:p>
        </w:tc>
      </w:tr>
    </w:tbl>
    <w:p w:rsidR="009627E4" w:rsidRDefault="009627E4" w:rsidP="009627E4">
      <w:pPr>
        <w:pStyle w:val="Subheading3"/>
      </w:pPr>
      <w:r>
        <w:lastRenderedPageBreak/>
        <w:t>The prompts for each transaction type are:</w:t>
      </w: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9627E4" w:rsidRPr="009627E4" w:rsidTr="009627E4">
        <w:trPr>
          <w:cantSplit/>
        </w:trPr>
        <w:tc>
          <w:tcPr>
            <w:tcW w:w="2410" w:type="dxa"/>
          </w:tcPr>
          <w:p w:rsidR="009627E4" w:rsidRPr="009627E4" w:rsidRDefault="009627E4">
            <w:pPr>
              <w:pStyle w:val="subheading0"/>
            </w:pPr>
            <w:r w:rsidRPr="009627E4">
              <w:t>Auto-allocate</w:t>
            </w:r>
          </w:p>
        </w:tc>
        <w:tc>
          <w:tcPr>
            <w:tcW w:w="7092" w:type="dxa"/>
          </w:tcPr>
          <w:p w:rsidR="009627E4" w:rsidRPr="009239EF" w:rsidRDefault="009627E4" w:rsidP="009239EF">
            <w:pPr>
              <w:pStyle w:val="body-text"/>
              <w:ind w:left="0"/>
              <w:rPr>
                <w:rFonts w:ascii="Times New Roman" w:hAnsi="Times New Roman" w:cs="Times New Roman"/>
                <w:sz w:val="20"/>
                <w:szCs w:val="20"/>
              </w:rPr>
            </w:pPr>
            <w:r w:rsidRPr="009239EF">
              <w:rPr>
                <w:rFonts w:ascii="Times New Roman" w:hAnsi="Times New Roman" w:cs="Times New Roman"/>
                <w:i/>
                <w:iCs/>
                <w:sz w:val="20"/>
                <w:szCs w:val="20"/>
              </w:rPr>
              <w:t>(Not journals or receipts for allocation purposes.)</w:t>
            </w:r>
            <w:r w:rsidRPr="009239EF">
              <w:rPr>
                <w:rFonts w:ascii="Times New Roman" w:hAnsi="Times New Roman" w:cs="Times New Roman"/>
                <w:sz w:val="20"/>
                <w:szCs w:val="20"/>
              </w:rPr>
              <w:t xml:space="preserve">  Set this if you want Debtors Ledger to automatically generate document numbers for this transaction type. Automatically generated document numbers cannot be changed.</w:t>
            </w:r>
            <w:r w:rsidR="009239EF">
              <w:rPr>
                <w:rFonts w:ascii="Times New Roman" w:hAnsi="Times New Roman" w:cs="Times New Roman"/>
                <w:sz w:val="20"/>
                <w:szCs w:val="20"/>
              </w:rPr>
              <w:t xml:space="preserve"> If this is not set </w:t>
            </w:r>
            <w:r w:rsidR="009239EF" w:rsidRPr="009239EF">
              <w:rPr>
                <w:rFonts w:ascii="Times New Roman" w:hAnsi="Times New Roman" w:cs="Times New Roman"/>
                <w:sz w:val="20"/>
                <w:szCs w:val="20"/>
              </w:rPr>
              <w:t xml:space="preserve">you </w:t>
            </w:r>
            <w:r w:rsidR="009239EF">
              <w:rPr>
                <w:rFonts w:ascii="Times New Roman" w:hAnsi="Times New Roman" w:cs="Times New Roman"/>
                <w:sz w:val="20"/>
                <w:szCs w:val="20"/>
              </w:rPr>
              <w:t>can</w:t>
            </w:r>
            <w:r w:rsidR="009239EF" w:rsidRPr="009239EF">
              <w:rPr>
                <w:rFonts w:ascii="Times New Roman" w:hAnsi="Times New Roman" w:cs="Times New Roman"/>
                <w:sz w:val="20"/>
                <w:szCs w:val="20"/>
              </w:rPr>
              <w:t xml:space="preserve"> enter document numbers manually for th</w:t>
            </w:r>
            <w:r w:rsidR="009239EF">
              <w:rPr>
                <w:rFonts w:ascii="Times New Roman" w:hAnsi="Times New Roman" w:cs="Times New Roman"/>
                <w:sz w:val="20"/>
                <w:szCs w:val="20"/>
              </w:rPr>
              <w:t>e</w:t>
            </w:r>
            <w:r w:rsidR="009239EF" w:rsidRPr="009239EF">
              <w:rPr>
                <w:rFonts w:ascii="Times New Roman" w:hAnsi="Times New Roman" w:cs="Times New Roman"/>
                <w:sz w:val="20"/>
                <w:szCs w:val="20"/>
              </w:rPr>
              <w:t xml:space="preserve"> transaction type. Each document number you enter must be unique.</w:t>
            </w:r>
          </w:p>
        </w:tc>
      </w:tr>
      <w:tr w:rsidR="009627E4" w:rsidRPr="009627E4" w:rsidTr="009627E4">
        <w:trPr>
          <w:cantSplit/>
        </w:trPr>
        <w:tc>
          <w:tcPr>
            <w:tcW w:w="2410" w:type="dxa"/>
          </w:tcPr>
          <w:p w:rsidR="009627E4" w:rsidRPr="009627E4" w:rsidRDefault="009627E4">
            <w:pPr>
              <w:pStyle w:val="window0"/>
              <w:rPr>
                <w:b/>
                <w:sz w:val="20"/>
                <w:szCs w:val="20"/>
              </w:rPr>
            </w:pPr>
            <w:r w:rsidRPr="009627E4">
              <w:rPr>
                <w:b/>
                <w:sz w:val="20"/>
                <w:szCs w:val="20"/>
              </w:rPr>
              <w:t>Note</w:t>
            </w:r>
          </w:p>
        </w:tc>
        <w:tc>
          <w:tcPr>
            <w:tcW w:w="7092" w:type="dxa"/>
            <w:shd w:val="pct12" w:color="auto" w:fill="auto"/>
          </w:tcPr>
          <w:p w:rsidR="009627E4" w:rsidRPr="009627E4" w:rsidRDefault="009627E4" w:rsidP="009627E4">
            <w:pPr>
              <w:pStyle w:val="body-text"/>
              <w:ind w:left="0"/>
              <w:rPr>
                <w:rFonts w:ascii="Times New Roman" w:hAnsi="Times New Roman" w:cs="Times New Roman"/>
                <w:sz w:val="20"/>
                <w:szCs w:val="20"/>
              </w:rPr>
            </w:pPr>
            <w:r>
              <w:rPr>
                <w:rFonts w:ascii="Times New Roman" w:hAnsi="Times New Roman" w:cs="Times New Roman"/>
                <w:sz w:val="20"/>
                <w:szCs w:val="20"/>
              </w:rPr>
              <w:t xml:space="preserve">References for </w:t>
            </w:r>
            <w:r w:rsidRPr="009627E4">
              <w:rPr>
                <w:rFonts w:ascii="Times New Roman" w:hAnsi="Times New Roman" w:cs="Times New Roman"/>
                <w:sz w:val="20"/>
                <w:szCs w:val="20"/>
              </w:rPr>
              <w:t xml:space="preserve">Journal </w:t>
            </w:r>
            <w:r>
              <w:rPr>
                <w:rFonts w:ascii="Times New Roman" w:hAnsi="Times New Roman" w:cs="Times New Roman"/>
                <w:sz w:val="20"/>
                <w:szCs w:val="20"/>
              </w:rPr>
              <w:t>and receipts for allocation purposes</w:t>
            </w:r>
            <w:r w:rsidRPr="009627E4">
              <w:rPr>
                <w:rFonts w:ascii="Times New Roman" w:hAnsi="Times New Roman" w:cs="Times New Roman"/>
                <w:sz w:val="20"/>
                <w:szCs w:val="20"/>
              </w:rPr>
              <w:t xml:space="preserve"> are always allocated automatically.</w:t>
            </w:r>
          </w:p>
        </w:tc>
      </w:tr>
      <w:tr w:rsidR="009627E4" w:rsidRPr="009627E4" w:rsidTr="009627E4">
        <w:trPr>
          <w:cantSplit/>
        </w:trPr>
        <w:tc>
          <w:tcPr>
            <w:tcW w:w="2410" w:type="dxa"/>
          </w:tcPr>
          <w:p w:rsidR="009627E4" w:rsidRPr="009627E4" w:rsidRDefault="009627E4">
            <w:pPr>
              <w:pStyle w:val="subheading0"/>
            </w:pPr>
            <w:r w:rsidRPr="009627E4">
              <w:t>Prefix</w:t>
            </w:r>
          </w:p>
        </w:tc>
        <w:tc>
          <w:tcPr>
            <w:tcW w:w="7092" w:type="dxa"/>
          </w:tcPr>
          <w:p w:rsidR="009627E4" w:rsidRPr="009627E4" w:rsidRDefault="009627E4" w:rsidP="009627E4">
            <w:pPr>
              <w:pStyle w:val="body-text"/>
              <w:ind w:left="0"/>
              <w:rPr>
                <w:rFonts w:ascii="Times New Roman" w:hAnsi="Times New Roman" w:cs="Times New Roman"/>
                <w:sz w:val="20"/>
                <w:szCs w:val="20"/>
              </w:rPr>
            </w:pPr>
            <w:r w:rsidRPr="009627E4">
              <w:rPr>
                <w:rFonts w:ascii="Times New Roman" w:hAnsi="Times New Roman" w:cs="Times New Roman"/>
                <w:sz w:val="20"/>
                <w:szCs w:val="20"/>
              </w:rPr>
              <w:t>You can optionally enter a prefix of up to four characters to be combined with the 'Next number' to form an eight character transaction reference. For example, a prefix of 'INV' and a next number of 56 are combined to form a document number of 'INV00056'.</w:t>
            </w:r>
            <w:r w:rsidR="00F07BD9">
              <w:rPr>
                <w:rFonts w:ascii="Times New Roman" w:hAnsi="Times New Roman" w:cs="Times New Roman"/>
                <w:sz w:val="20"/>
                <w:szCs w:val="20"/>
              </w:rPr>
              <w:t xml:space="preserve"> </w:t>
            </w:r>
          </w:p>
        </w:tc>
      </w:tr>
      <w:tr w:rsidR="009627E4" w:rsidRPr="009627E4" w:rsidTr="009627E4">
        <w:trPr>
          <w:cantSplit/>
        </w:trPr>
        <w:tc>
          <w:tcPr>
            <w:tcW w:w="2410" w:type="dxa"/>
          </w:tcPr>
          <w:p w:rsidR="009627E4" w:rsidRPr="009627E4" w:rsidRDefault="009627E4">
            <w:pPr>
              <w:pStyle w:val="window0"/>
              <w:rPr>
                <w:b/>
                <w:sz w:val="20"/>
                <w:szCs w:val="20"/>
              </w:rPr>
            </w:pPr>
            <w:r w:rsidRPr="009627E4">
              <w:rPr>
                <w:b/>
                <w:sz w:val="20"/>
                <w:szCs w:val="20"/>
              </w:rPr>
              <w:t>Note</w:t>
            </w:r>
            <w:r w:rsidR="00F07BD9">
              <w:rPr>
                <w:b/>
                <w:sz w:val="20"/>
                <w:szCs w:val="20"/>
              </w:rPr>
              <w:t>s</w:t>
            </w:r>
          </w:p>
        </w:tc>
        <w:tc>
          <w:tcPr>
            <w:tcW w:w="7092" w:type="dxa"/>
            <w:shd w:val="pct12" w:color="auto" w:fill="auto"/>
          </w:tcPr>
          <w:p w:rsidR="009627E4" w:rsidRDefault="009627E4" w:rsidP="001E38BE">
            <w:pPr>
              <w:pStyle w:val="body-text"/>
              <w:ind w:left="0"/>
              <w:rPr>
                <w:rFonts w:ascii="Times New Roman" w:hAnsi="Times New Roman" w:cs="Times New Roman"/>
                <w:sz w:val="20"/>
                <w:szCs w:val="20"/>
              </w:rPr>
            </w:pPr>
            <w:r w:rsidRPr="009627E4">
              <w:rPr>
                <w:rFonts w:ascii="Times New Roman" w:hAnsi="Times New Roman" w:cs="Times New Roman"/>
                <w:sz w:val="20"/>
                <w:szCs w:val="20"/>
              </w:rPr>
              <w:t>If wholly numeric references are required, leave this prompt blank and set the 'Right justify document numbers' prompt.</w:t>
            </w:r>
          </w:p>
          <w:p w:rsidR="00F07BD9" w:rsidRPr="009627E4" w:rsidRDefault="00F07BD9" w:rsidP="001E38BE">
            <w:pPr>
              <w:pStyle w:val="body-text"/>
              <w:ind w:left="0"/>
              <w:rPr>
                <w:rFonts w:ascii="Times New Roman" w:hAnsi="Times New Roman" w:cs="Times New Roman"/>
                <w:sz w:val="20"/>
                <w:szCs w:val="20"/>
              </w:rPr>
            </w:pPr>
            <w:r>
              <w:rPr>
                <w:rFonts w:ascii="Times New Roman" w:hAnsi="Times New Roman" w:cs="Times New Roman"/>
                <w:sz w:val="20"/>
                <w:szCs w:val="20"/>
              </w:rPr>
              <w:t>The use of a prefix for receipts for allocation purposes is not optional.</w:t>
            </w:r>
          </w:p>
        </w:tc>
      </w:tr>
      <w:tr w:rsidR="009627E4" w:rsidRPr="009627E4" w:rsidTr="007F22E0">
        <w:trPr>
          <w:cantSplit/>
        </w:trPr>
        <w:tc>
          <w:tcPr>
            <w:tcW w:w="2410" w:type="dxa"/>
          </w:tcPr>
          <w:p w:rsidR="009627E4" w:rsidRDefault="009627E4">
            <w:pPr>
              <w:pStyle w:val="subheading0"/>
            </w:pPr>
            <w:r>
              <w:t>Next number</w:t>
            </w:r>
          </w:p>
        </w:tc>
        <w:tc>
          <w:tcPr>
            <w:tcW w:w="7092" w:type="dxa"/>
          </w:tcPr>
          <w:p w:rsidR="009627E4" w:rsidRPr="009627E4" w:rsidRDefault="009627E4" w:rsidP="009627E4">
            <w:pPr>
              <w:pStyle w:val="body-text"/>
              <w:ind w:left="0"/>
              <w:rPr>
                <w:rFonts w:ascii="Times New Roman" w:hAnsi="Times New Roman" w:cs="Times New Roman"/>
                <w:sz w:val="20"/>
                <w:szCs w:val="20"/>
              </w:rPr>
            </w:pPr>
            <w:r w:rsidRPr="009627E4">
              <w:rPr>
                <w:rFonts w:ascii="Times New Roman" w:hAnsi="Times New Roman" w:cs="Times New Roman"/>
                <w:sz w:val="20"/>
                <w:szCs w:val="20"/>
              </w:rPr>
              <w:t xml:space="preserve">The next number to be used for this transaction type to form a transaction reference. Although it can be changed, this should not be done unless there is a very good reason. </w:t>
            </w:r>
          </w:p>
        </w:tc>
      </w:tr>
    </w:tbl>
    <w:p w:rsidR="003C7C19" w:rsidRDefault="003C7C19">
      <w:pPr>
        <w:rPr>
          <w:rFonts w:ascii="Arial" w:hAnsi="Arial"/>
          <w:b/>
          <w:sz w:val="22"/>
        </w:rPr>
      </w:pPr>
    </w:p>
    <w:p w:rsidR="00292B7E" w:rsidRDefault="00292B7E" w:rsidP="00292B7E">
      <w:pPr>
        <w:pStyle w:val="Heading3"/>
        <w:ind w:left="0"/>
      </w:pPr>
      <w:r>
        <w:rPr>
          <w:b w:val="0"/>
          <w:sz w:val="22"/>
        </w:rPr>
        <w:br w:type="page"/>
      </w:r>
      <w:r>
        <w:lastRenderedPageBreak/>
        <w:t>CL System Parameters – Document Numbers</w:t>
      </w:r>
    </w:p>
    <w:p w:rsidR="00292B7E" w:rsidRDefault="0072097E" w:rsidP="00292B7E">
      <w:pPr>
        <w:rPr>
          <w:i/>
          <w:iCs/>
        </w:rPr>
      </w:pPr>
      <w:r>
        <w:rPr>
          <w:i/>
          <w:iCs/>
        </w:rPr>
        <w:t xml:space="preserve"> </w:t>
      </w:r>
      <w:r w:rsidR="00AE60C8">
        <w:rPr>
          <w:noProof/>
        </w:rPr>
        <w:pict>
          <v:shape id="_x0000_i1029" type="#_x0000_t75" style="width:468pt;height:337.5pt;visibility:visible;mso-wrap-style:square">
            <v:imagedata r:id="rId15" o:title=""/>
          </v:shape>
        </w:pict>
      </w:r>
    </w:p>
    <w:p w:rsidR="00292B7E" w:rsidRDefault="00292B7E" w:rsidP="00292B7E">
      <w:pPr>
        <w:rPr>
          <w:i/>
          <w:iCs/>
        </w:rPr>
      </w:pP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292B7E" w:rsidTr="007F22E0">
        <w:trPr>
          <w:cantSplit/>
        </w:trPr>
        <w:tc>
          <w:tcPr>
            <w:tcW w:w="2410" w:type="dxa"/>
          </w:tcPr>
          <w:p w:rsidR="00292B7E" w:rsidRDefault="00292B7E" w:rsidP="007F22E0">
            <w:pPr>
              <w:pStyle w:val="subheading0"/>
            </w:pPr>
            <w:r>
              <w:t>Purpose</w:t>
            </w:r>
          </w:p>
        </w:tc>
        <w:tc>
          <w:tcPr>
            <w:tcW w:w="7092" w:type="dxa"/>
          </w:tcPr>
          <w:p w:rsidR="00292B7E" w:rsidRPr="009627E4" w:rsidRDefault="00292B7E" w:rsidP="00292B7E">
            <w:pPr>
              <w:pStyle w:val="body-text"/>
              <w:ind w:left="0"/>
              <w:rPr>
                <w:rFonts w:ascii="Times New Roman" w:hAnsi="Times New Roman" w:cs="Times New Roman"/>
                <w:sz w:val="20"/>
                <w:szCs w:val="20"/>
              </w:rPr>
            </w:pPr>
            <w:r>
              <w:rPr>
                <w:rFonts w:ascii="Times New Roman" w:hAnsi="Times New Roman" w:cs="Times New Roman"/>
                <w:sz w:val="20"/>
                <w:szCs w:val="20"/>
              </w:rPr>
              <w:t>T</w:t>
            </w:r>
            <w:r w:rsidRPr="009627E4">
              <w:rPr>
                <w:rFonts w:ascii="Times New Roman" w:hAnsi="Times New Roman" w:cs="Times New Roman"/>
                <w:sz w:val="20"/>
                <w:szCs w:val="20"/>
              </w:rPr>
              <w:t xml:space="preserve">he </w:t>
            </w:r>
            <w:r>
              <w:rPr>
                <w:rFonts w:ascii="Times New Roman" w:hAnsi="Times New Roman" w:cs="Times New Roman"/>
                <w:sz w:val="20"/>
                <w:szCs w:val="20"/>
              </w:rPr>
              <w:t>settings</w:t>
            </w:r>
            <w:r w:rsidRPr="009627E4">
              <w:rPr>
                <w:rFonts w:ascii="Times New Roman" w:hAnsi="Times New Roman" w:cs="Times New Roman"/>
                <w:sz w:val="20"/>
                <w:szCs w:val="20"/>
              </w:rPr>
              <w:t xml:space="preserve"> in this window control </w:t>
            </w:r>
            <w:r>
              <w:rPr>
                <w:rFonts w:ascii="Times New Roman" w:hAnsi="Times New Roman" w:cs="Times New Roman"/>
                <w:sz w:val="20"/>
                <w:szCs w:val="20"/>
              </w:rPr>
              <w:t xml:space="preserve">automatic </w:t>
            </w:r>
            <w:r w:rsidRPr="009627E4">
              <w:rPr>
                <w:rFonts w:ascii="Times New Roman" w:hAnsi="Times New Roman" w:cs="Times New Roman"/>
                <w:sz w:val="20"/>
                <w:szCs w:val="20"/>
              </w:rPr>
              <w:t>document numbers for invoices</w:t>
            </w:r>
            <w:r>
              <w:rPr>
                <w:rFonts w:ascii="Times New Roman" w:hAnsi="Times New Roman" w:cs="Times New Roman"/>
                <w:sz w:val="20"/>
                <w:szCs w:val="20"/>
              </w:rPr>
              <w:t xml:space="preserve"> (including logged invoices)</w:t>
            </w:r>
            <w:r w:rsidRPr="009627E4">
              <w:rPr>
                <w:rFonts w:ascii="Times New Roman" w:hAnsi="Times New Roman" w:cs="Times New Roman"/>
                <w:sz w:val="20"/>
                <w:szCs w:val="20"/>
              </w:rPr>
              <w:t xml:space="preserve">, credit notes, </w:t>
            </w:r>
            <w:r>
              <w:rPr>
                <w:rFonts w:ascii="Times New Roman" w:hAnsi="Times New Roman" w:cs="Times New Roman"/>
                <w:sz w:val="20"/>
                <w:szCs w:val="20"/>
              </w:rPr>
              <w:t>payments</w:t>
            </w:r>
            <w:r w:rsidRPr="009627E4">
              <w:rPr>
                <w:rFonts w:ascii="Times New Roman" w:hAnsi="Times New Roman" w:cs="Times New Roman"/>
                <w:sz w:val="20"/>
                <w:szCs w:val="20"/>
              </w:rPr>
              <w:t>, journals</w:t>
            </w:r>
            <w:r>
              <w:rPr>
                <w:rFonts w:ascii="Times New Roman" w:hAnsi="Times New Roman" w:cs="Times New Roman"/>
                <w:sz w:val="20"/>
                <w:szCs w:val="20"/>
              </w:rPr>
              <w:t xml:space="preserve"> and payments used for allocation purposes</w:t>
            </w:r>
            <w:r w:rsidRPr="009627E4">
              <w:rPr>
                <w:rFonts w:ascii="Times New Roman" w:hAnsi="Times New Roman" w:cs="Times New Roman"/>
                <w:sz w:val="20"/>
                <w:szCs w:val="20"/>
              </w:rPr>
              <w:t>. Document numbers provide each transaction with a unique id.</w:t>
            </w:r>
          </w:p>
        </w:tc>
      </w:tr>
      <w:tr w:rsidR="00292B7E" w:rsidTr="007F22E0">
        <w:trPr>
          <w:cantSplit/>
        </w:trPr>
        <w:tc>
          <w:tcPr>
            <w:tcW w:w="2410" w:type="dxa"/>
          </w:tcPr>
          <w:p w:rsidR="00292B7E" w:rsidRDefault="00292B7E" w:rsidP="007F22E0">
            <w:pPr>
              <w:pStyle w:val="subheading0"/>
            </w:pPr>
          </w:p>
        </w:tc>
        <w:tc>
          <w:tcPr>
            <w:tcW w:w="7092" w:type="dxa"/>
          </w:tcPr>
          <w:p w:rsidR="00292B7E" w:rsidRPr="00292B7E" w:rsidRDefault="00292B7E" w:rsidP="00292B7E">
            <w:pPr>
              <w:pStyle w:val="body-text"/>
              <w:ind w:left="0"/>
              <w:rPr>
                <w:rFonts w:ascii="Times New Roman" w:hAnsi="Times New Roman" w:cs="Times New Roman"/>
                <w:sz w:val="20"/>
                <w:szCs w:val="20"/>
              </w:rPr>
            </w:pPr>
            <w:r w:rsidRPr="00292B7E">
              <w:rPr>
                <w:rFonts w:ascii="Times New Roman" w:hAnsi="Times New Roman" w:cs="Times New Roman"/>
                <w:sz w:val="20"/>
                <w:szCs w:val="20"/>
              </w:rPr>
              <w:t xml:space="preserve">You can specify, for each supplier, whether Creditors Ledger is to automatically generate document numbers for the supplier, or whether the operator is to enter them manually. However, </w:t>
            </w:r>
            <w:r>
              <w:rPr>
                <w:rFonts w:ascii="Times New Roman" w:hAnsi="Times New Roman" w:cs="Times New Roman"/>
                <w:sz w:val="20"/>
                <w:szCs w:val="20"/>
              </w:rPr>
              <w:t xml:space="preserve">document references for </w:t>
            </w:r>
            <w:r w:rsidRPr="00292B7E">
              <w:rPr>
                <w:rFonts w:ascii="Times New Roman" w:hAnsi="Times New Roman" w:cs="Times New Roman"/>
                <w:sz w:val="20"/>
                <w:szCs w:val="20"/>
              </w:rPr>
              <w:t>journal</w:t>
            </w:r>
            <w:r>
              <w:rPr>
                <w:rFonts w:ascii="Times New Roman" w:hAnsi="Times New Roman" w:cs="Times New Roman"/>
                <w:sz w:val="20"/>
                <w:szCs w:val="20"/>
              </w:rPr>
              <w:t xml:space="preserve">s, payments for allocation purposes and </w:t>
            </w:r>
            <w:r w:rsidRPr="00292B7E">
              <w:rPr>
                <w:rFonts w:ascii="Times New Roman" w:hAnsi="Times New Roman" w:cs="Times New Roman"/>
                <w:sz w:val="20"/>
                <w:szCs w:val="20"/>
              </w:rPr>
              <w:t>bank transfers are always allocated automatically</w:t>
            </w:r>
            <w:r>
              <w:rPr>
                <w:rFonts w:ascii="Times New Roman" w:hAnsi="Times New Roman" w:cs="Times New Roman"/>
                <w:sz w:val="20"/>
                <w:szCs w:val="20"/>
              </w:rPr>
              <w:t xml:space="preserve"> by the system</w:t>
            </w:r>
            <w:r w:rsidRPr="00292B7E">
              <w:rPr>
                <w:rFonts w:ascii="Times New Roman" w:hAnsi="Times New Roman" w:cs="Times New Roman"/>
                <w:sz w:val="20"/>
                <w:szCs w:val="20"/>
              </w:rPr>
              <w:t>.</w:t>
            </w:r>
          </w:p>
        </w:tc>
      </w:tr>
      <w:tr w:rsidR="00292B7E" w:rsidTr="007F22E0">
        <w:trPr>
          <w:cantSplit/>
        </w:trPr>
        <w:tc>
          <w:tcPr>
            <w:tcW w:w="2410" w:type="dxa"/>
          </w:tcPr>
          <w:p w:rsidR="00292B7E" w:rsidRPr="009627E4" w:rsidRDefault="00292B7E" w:rsidP="007F22E0">
            <w:pPr>
              <w:pStyle w:val="window0"/>
              <w:rPr>
                <w:b/>
                <w:sz w:val="20"/>
                <w:szCs w:val="20"/>
              </w:rPr>
            </w:pPr>
            <w:r w:rsidRPr="009627E4">
              <w:rPr>
                <w:b/>
                <w:sz w:val="20"/>
                <w:szCs w:val="20"/>
              </w:rPr>
              <w:t>Note</w:t>
            </w:r>
          </w:p>
        </w:tc>
        <w:tc>
          <w:tcPr>
            <w:tcW w:w="7092" w:type="dxa"/>
            <w:shd w:val="pct12" w:color="auto" w:fill="auto"/>
          </w:tcPr>
          <w:p w:rsidR="00292B7E" w:rsidRPr="009627E4" w:rsidRDefault="00292B7E" w:rsidP="00BE1ADF">
            <w:pPr>
              <w:pStyle w:val="body-text"/>
              <w:ind w:left="0"/>
              <w:rPr>
                <w:rFonts w:ascii="Times New Roman" w:hAnsi="Times New Roman" w:cs="Times New Roman"/>
                <w:sz w:val="20"/>
                <w:szCs w:val="20"/>
              </w:rPr>
            </w:pPr>
            <w:r w:rsidRPr="009627E4">
              <w:rPr>
                <w:rFonts w:ascii="Times New Roman" w:hAnsi="Times New Roman" w:cs="Times New Roman"/>
                <w:sz w:val="20"/>
                <w:szCs w:val="20"/>
              </w:rPr>
              <w:t xml:space="preserve">The parameters in this window are company-specific. This means they only apply to the currently selected company. The code of the currently selected company is displayed in the window's title bar. You need to set the parameters up for each company in turn. To change the company, return to the </w:t>
            </w:r>
            <w:r w:rsidR="00BE1ADF">
              <w:rPr>
                <w:rFonts w:ascii="Times New Roman" w:hAnsi="Times New Roman" w:cs="Times New Roman"/>
                <w:sz w:val="20"/>
                <w:szCs w:val="20"/>
              </w:rPr>
              <w:t>Credito</w:t>
            </w:r>
            <w:r w:rsidRPr="009627E4">
              <w:rPr>
                <w:rFonts w:ascii="Times New Roman" w:hAnsi="Times New Roman" w:cs="Times New Roman"/>
                <w:sz w:val="20"/>
                <w:szCs w:val="20"/>
              </w:rPr>
              <w:t>rs Ledger Parameters Menu, and choose the Reselect Company option.</w:t>
            </w:r>
          </w:p>
        </w:tc>
      </w:tr>
      <w:tr w:rsidR="00292B7E" w:rsidTr="007F22E0">
        <w:trPr>
          <w:cantSplit/>
        </w:trPr>
        <w:tc>
          <w:tcPr>
            <w:tcW w:w="2410" w:type="dxa"/>
          </w:tcPr>
          <w:p w:rsidR="00292B7E" w:rsidRPr="009627E4" w:rsidRDefault="00292B7E" w:rsidP="007F22E0">
            <w:pPr>
              <w:pStyle w:val="window0"/>
              <w:rPr>
                <w:b/>
                <w:sz w:val="20"/>
                <w:szCs w:val="20"/>
              </w:rPr>
            </w:pPr>
            <w:r w:rsidRPr="009627E4">
              <w:rPr>
                <w:b/>
                <w:sz w:val="20"/>
                <w:szCs w:val="20"/>
              </w:rPr>
              <w:t>Warning</w:t>
            </w:r>
          </w:p>
        </w:tc>
        <w:tc>
          <w:tcPr>
            <w:tcW w:w="7092" w:type="dxa"/>
            <w:shd w:val="pct12" w:color="auto" w:fill="auto"/>
          </w:tcPr>
          <w:p w:rsidR="00292B7E" w:rsidRPr="009627E4" w:rsidRDefault="00292B7E" w:rsidP="007F22E0">
            <w:pPr>
              <w:pStyle w:val="body-text"/>
              <w:ind w:left="0"/>
              <w:rPr>
                <w:rFonts w:ascii="Times New Roman" w:hAnsi="Times New Roman" w:cs="Times New Roman"/>
                <w:sz w:val="20"/>
                <w:szCs w:val="20"/>
              </w:rPr>
            </w:pPr>
            <w:r w:rsidRPr="009627E4">
              <w:rPr>
                <w:rFonts w:ascii="Times New Roman" w:hAnsi="Times New Roman" w:cs="Times New Roman"/>
                <w:sz w:val="20"/>
                <w:szCs w:val="20"/>
              </w:rPr>
              <w:t>Generally you should not change the settings in this window after initial set up. If you do need to change any of them, take great care to avoid duplicate references being generated.</w:t>
            </w:r>
          </w:p>
        </w:tc>
      </w:tr>
    </w:tbl>
    <w:p w:rsidR="002E0421" w:rsidRDefault="002E0421" w:rsidP="002E0421">
      <w:pPr>
        <w:pStyle w:val="Subheading3"/>
      </w:pPr>
      <w:r>
        <w:t>The prompts for each transaction type are:</w:t>
      </w: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2E0421" w:rsidRPr="009627E4" w:rsidTr="007F22E0">
        <w:trPr>
          <w:cantSplit/>
        </w:trPr>
        <w:tc>
          <w:tcPr>
            <w:tcW w:w="2410" w:type="dxa"/>
          </w:tcPr>
          <w:p w:rsidR="002E0421" w:rsidRPr="009627E4" w:rsidRDefault="002E0421" w:rsidP="007F22E0">
            <w:pPr>
              <w:pStyle w:val="subheading0"/>
            </w:pPr>
            <w:r w:rsidRPr="009627E4">
              <w:t>Prefix</w:t>
            </w:r>
          </w:p>
        </w:tc>
        <w:tc>
          <w:tcPr>
            <w:tcW w:w="7092" w:type="dxa"/>
          </w:tcPr>
          <w:p w:rsidR="002E0421" w:rsidRPr="009627E4" w:rsidRDefault="002E0421" w:rsidP="007F22E0">
            <w:pPr>
              <w:pStyle w:val="body-text"/>
              <w:ind w:left="0"/>
              <w:rPr>
                <w:rFonts w:ascii="Times New Roman" w:hAnsi="Times New Roman" w:cs="Times New Roman"/>
                <w:sz w:val="20"/>
                <w:szCs w:val="20"/>
              </w:rPr>
            </w:pPr>
            <w:r w:rsidRPr="009627E4">
              <w:rPr>
                <w:rFonts w:ascii="Times New Roman" w:hAnsi="Times New Roman" w:cs="Times New Roman"/>
                <w:sz w:val="20"/>
                <w:szCs w:val="20"/>
              </w:rPr>
              <w:t>You can optionally enter a prefix of up to four characters to be combined with the 'Next number' to form an eight character transaction reference. For example, a prefix of 'INV' and a next number of 56 are combined to form a document number of 'INV00056'.</w:t>
            </w:r>
          </w:p>
        </w:tc>
      </w:tr>
      <w:tr w:rsidR="002E0421" w:rsidRPr="009627E4" w:rsidTr="007F22E0">
        <w:trPr>
          <w:cantSplit/>
        </w:trPr>
        <w:tc>
          <w:tcPr>
            <w:tcW w:w="2410" w:type="dxa"/>
          </w:tcPr>
          <w:p w:rsidR="002E0421" w:rsidRPr="009627E4" w:rsidRDefault="002E0421" w:rsidP="007F22E0">
            <w:pPr>
              <w:pStyle w:val="window0"/>
              <w:rPr>
                <w:b/>
                <w:sz w:val="20"/>
                <w:szCs w:val="20"/>
              </w:rPr>
            </w:pPr>
            <w:r w:rsidRPr="009627E4">
              <w:rPr>
                <w:b/>
                <w:sz w:val="20"/>
                <w:szCs w:val="20"/>
              </w:rPr>
              <w:lastRenderedPageBreak/>
              <w:t>Note</w:t>
            </w:r>
            <w:r w:rsidR="00F07BD9">
              <w:rPr>
                <w:b/>
                <w:sz w:val="20"/>
                <w:szCs w:val="20"/>
              </w:rPr>
              <w:t>s</w:t>
            </w:r>
          </w:p>
        </w:tc>
        <w:tc>
          <w:tcPr>
            <w:tcW w:w="7092" w:type="dxa"/>
            <w:shd w:val="pct12" w:color="auto" w:fill="auto"/>
          </w:tcPr>
          <w:p w:rsidR="002E0421" w:rsidRDefault="002E0421" w:rsidP="007F22E0">
            <w:pPr>
              <w:pStyle w:val="body-text"/>
              <w:ind w:left="0"/>
              <w:rPr>
                <w:rFonts w:ascii="Times New Roman" w:hAnsi="Times New Roman" w:cs="Times New Roman"/>
                <w:sz w:val="20"/>
                <w:szCs w:val="20"/>
              </w:rPr>
            </w:pPr>
            <w:r w:rsidRPr="009627E4">
              <w:rPr>
                <w:rFonts w:ascii="Times New Roman" w:hAnsi="Times New Roman" w:cs="Times New Roman"/>
                <w:sz w:val="20"/>
                <w:szCs w:val="20"/>
              </w:rPr>
              <w:t>If wholly numeric references are required, leave this prompt blank and set the 'Right justify document numbers' prompt</w:t>
            </w:r>
            <w:r w:rsidR="00A67B2F">
              <w:rPr>
                <w:rFonts w:ascii="Times New Roman" w:hAnsi="Times New Roman" w:cs="Times New Roman"/>
                <w:sz w:val="20"/>
                <w:szCs w:val="20"/>
              </w:rPr>
              <w:t xml:space="preserve"> (available in the next window)</w:t>
            </w:r>
            <w:r w:rsidRPr="009627E4">
              <w:rPr>
                <w:rFonts w:ascii="Times New Roman" w:hAnsi="Times New Roman" w:cs="Times New Roman"/>
                <w:sz w:val="20"/>
                <w:szCs w:val="20"/>
              </w:rPr>
              <w:t>.</w:t>
            </w:r>
          </w:p>
          <w:p w:rsidR="00F07BD9" w:rsidRPr="009627E4" w:rsidRDefault="00F07BD9" w:rsidP="00F07BD9">
            <w:pPr>
              <w:pStyle w:val="body-text"/>
              <w:ind w:left="0"/>
              <w:rPr>
                <w:rFonts w:ascii="Times New Roman" w:hAnsi="Times New Roman" w:cs="Times New Roman"/>
                <w:sz w:val="20"/>
                <w:szCs w:val="20"/>
              </w:rPr>
            </w:pPr>
            <w:r>
              <w:rPr>
                <w:rFonts w:ascii="Times New Roman" w:hAnsi="Times New Roman" w:cs="Times New Roman"/>
                <w:sz w:val="20"/>
                <w:szCs w:val="20"/>
              </w:rPr>
              <w:t>The use of a prefix for payments for allocation purposes is not optional.</w:t>
            </w:r>
          </w:p>
        </w:tc>
      </w:tr>
      <w:tr w:rsidR="002E0421" w:rsidRPr="009627E4" w:rsidTr="00A67B2F">
        <w:trPr>
          <w:cantSplit/>
        </w:trPr>
        <w:tc>
          <w:tcPr>
            <w:tcW w:w="2410" w:type="dxa"/>
          </w:tcPr>
          <w:p w:rsidR="002E0421" w:rsidRDefault="002E0421" w:rsidP="007F22E0">
            <w:pPr>
              <w:pStyle w:val="subheading0"/>
            </w:pPr>
            <w:r>
              <w:t>Next number</w:t>
            </w:r>
          </w:p>
        </w:tc>
        <w:tc>
          <w:tcPr>
            <w:tcW w:w="7092" w:type="dxa"/>
          </w:tcPr>
          <w:p w:rsidR="002E0421" w:rsidRPr="009627E4" w:rsidRDefault="002E0421" w:rsidP="007F22E0">
            <w:pPr>
              <w:pStyle w:val="body-text"/>
              <w:ind w:left="0"/>
              <w:rPr>
                <w:rFonts w:ascii="Times New Roman" w:hAnsi="Times New Roman" w:cs="Times New Roman"/>
                <w:sz w:val="20"/>
                <w:szCs w:val="20"/>
              </w:rPr>
            </w:pPr>
            <w:r w:rsidRPr="009627E4">
              <w:rPr>
                <w:rFonts w:ascii="Times New Roman" w:hAnsi="Times New Roman" w:cs="Times New Roman"/>
                <w:sz w:val="20"/>
                <w:szCs w:val="20"/>
              </w:rPr>
              <w:t xml:space="preserve">The next number to be used for this transaction type to form a transaction reference. Although it can be changed, this should not be done unless there is a very good reason. </w:t>
            </w:r>
          </w:p>
        </w:tc>
      </w:tr>
      <w:tr w:rsidR="00A67B2F" w:rsidRPr="009627E4" w:rsidTr="00A67B2F">
        <w:trPr>
          <w:cantSplit/>
        </w:trPr>
        <w:tc>
          <w:tcPr>
            <w:tcW w:w="2410" w:type="dxa"/>
          </w:tcPr>
          <w:p w:rsidR="00A67B2F" w:rsidRPr="00A67B2F" w:rsidRDefault="00A67B2F">
            <w:pPr>
              <w:pStyle w:val="window0"/>
              <w:rPr>
                <w:b/>
                <w:sz w:val="20"/>
                <w:szCs w:val="20"/>
              </w:rPr>
            </w:pPr>
            <w:r w:rsidRPr="00A67B2F">
              <w:rPr>
                <w:b/>
                <w:sz w:val="20"/>
                <w:szCs w:val="20"/>
              </w:rPr>
              <w:t>Note</w:t>
            </w:r>
          </w:p>
        </w:tc>
        <w:tc>
          <w:tcPr>
            <w:tcW w:w="7092" w:type="dxa"/>
            <w:shd w:val="pct12" w:color="auto" w:fill="auto"/>
          </w:tcPr>
          <w:p w:rsidR="00A67B2F" w:rsidRPr="00A67B2F" w:rsidRDefault="00A67B2F" w:rsidP="00A67B2F">
            <w:pPr>
              <w:pStyle w:val="body-text"/>
              <w:ind w:left="0"/>
              <w:rPr>
                <w:rFonts w:ascii="Times New Roman" w:hAnsi="Times New Roman" w:cs="Times New Roman"/>
                <w:sz w:val="20"/>
                <w:szCs w:val="20"/>
              </w:rPr>
            </w:pPr>
            <w:r w:rsidRPr="00A67B2F">
              <w:rPr>
                <w:rFonts w:ascii="Times New Roman" w:hAnsi="Times New Roman" w:cs="Times New Roman"/>
                <w:sz w:val="20"/>
                <w:szCs w:val="20"/>
              </w:rPr>
              <w:t>If the next number exceeds the available space, it overlaps the prefix; for example, a prefix 'JNL' and a next number 1234567 results in a document number of 'J1234567'.</w:t>
            </w:r>
          </w:p>
        </w:tc>
      </w:tr>
    </w:tbl>
    <w:p w:rsidR="009627E4" w:rsidRDefault="009627E4">
      <w:pPr>
        <w:rPr>
          <w:rFonts w:ascii="Arial" w:hAnsi="Arial"/>
          <w:b/>
          <w:sz w:val="22"/>
        </w:rPr>
      </w:pPr>
    </w:p>
    <w:p w:rsidR="009627E4" w:rsidRDefault="009627E4">
      <w:pPr>
        <w:rPr>
          <w:rFonts w:ascii="Arial" w:hAnsi="Arial"/>
          <w:b/>
          <w:sz w:val="22"/>
        </w:rPr>
      </w:pPr>
    </w:p>
    <w:sectPr w:rsidR="009627E4">
      <w:footerReference w:type="default" r:id="rId16"/>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86C" w:rsidRDefault="006A586C">
      <w:r>
        <w:separator/>
      </w:r>
    </w:p>
  </w:endnote>
  <w:endnote w:type="continuationSeparator" w:id="0">
    <w:p w:rsidR="006A586C" w:rsidRDefault="006A5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Omeg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7F22E0">
      <w:tc>
        <w:tcPr>
          <w:tcW w:w="2178" w:type="dxa"/>
        </w:tcPr>
        <w:p w:rsidR="007F22E0" w:rsidRDefault="007F22E0">
          <w:pPr>
            <w:pStyle w:val="Footer"/>
            <w:rPr>
              <w:rFonts w:ascii="Arial" w:hAnsi="Arial"/>
              <w:b/>
              <w:sz w:val="24"/>
            </w:rPr>
          </w:pPr>
          <w:r>
            <w:rPr>
              <w:rFonts w:ascii="Arial" w:hAnsi="Arial"/>
              <w:b/>
              <w:sz w:val="24"/>
            </w:rPr>
            <w:t>Author</w:t>
          </w:r>
        </w:p>
      </w:tc>
      <w:tc>
        <w:tcPr>
          <w:tcW w:w="8130" w:type="dxa"/>
          <w:gridSpan w:val="2"/>
          <w:vAlign w:val="center"/>
        </w:tcPr>
        <w:p w:rsidR="007F22E0" w:rsidRDefault="007F22E0">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72097E">
            <w:rPr>
              <w:rFonts w:ascii="Arial" w:hAnsi="Arial"/>
              <w:noProof/>
              <w:sz w:val="18"/>
            </w:rPr>
            <w:t>DCP</w:t>
          </w:r>
          <w:r>
            <w:rPr>
              <w:rFonts w:ascii="Arial" w:hAnsi="Arial"/>
              <w:sz w:val="18"/>
            </w:rPr>
            <w:fldChar w:fldCharType="end"/>
          </w:r>
        </w:p>
      </w:tc>
    </w:tr>
    <w:tr w:rsidR="007F22E0">
      <w:tc>
        <w:tcPr>
          <w:tcW w:w="2178" w:type="dxa"/>
        </w:tcPr>
        <w:p w:rsidR="007F22E0" w:rsidRDefault="007F22E0">
          <w:pPr>
            <w:pStyle w:val="Footer"/>
            <w:rPr>
              <w:rFonts w:ascii="Arial" w:hAnsi="Arial"/>
              <w:b/>
              <w:sz w:val="24"/>
            </w:rPr>
          </w:pPr>
          <w:r>
            <w:rPr>
              <w:rFonts w:ascii="Arial" w:hAnsi="Arial"/>
              <w:b/>
              <w:sz w:val="24"/>
            </w:rPr>
            <w:t>Project</w:t>
          </w:r>
        </w:p>
      </w:tc>
      <w:tc>
        <w:tcPr>
          <w:tcW w:w="8130" w:type="dxa"/>
          <w:gridSpan w:val="2"/>
          <w:vAlign w:val="center"/>
        </w:tcPr>
        <w:p w:rsidR="007F22E0" w:rsidRDefault="007F22E0">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72097E">
            <w:rPr>
              <w:rFonts w:ascii="Arial" w:hAnsi="Arial"/>
              <w:noProof/>
              <w:sz w:val="18"/>
            </w:rPr>
            <w:t>ZM60_000416.docx</w:t>
          </w:r>
          <w:r>
            <w:rPr>
              <w:rFonts w:ascii="Arial" w:hAnsi="Arial"/>
              <w:sz w:val="18"/>
            </w:rPr>
            <w:fldChar w:fldCharType="end"/>
          </w:r>
        </w:p>
      </w:tc>
    </w:tr>
    <w:tr w:rsidR="007F22E0">
      <w:trPr>
        <w:cantSplit/>
      </w:trPr>
      <w:tc>
        <w:tcPr>
          <w:tcW w:w="2178" w:type="dxa"/>
        </w:tcPr>
        <w:p w:rsidR="007F22E0" w:rsidRDefault="007F22E0">
          <w:pPr>
            <w:pStyle w:val="Footer"/>
            <w:rPr>
              <w:rFonts w:ascii="Arial" w:hAnsi="Arial"/>
              <w:b/>
              <w:sz w:val="24"/>
            </w:rPr>
          </w:pPr>
          <w:r>
            <w:rPr>
              <w:rFonts w:ascii="Arial" w:hAnsi="Arial"/>
              <w:b/>
              <w:sz w:val="24"/>
            </w:rPr>
            <w:t>Version</w:t>
          </w:r>
        </w:p>
      </w:tc>
      <w:tc>
        <w:tcPr>
          <w:tcW w:w="7200" w:type="dxa"/>
          <w:vAlign w:val="center"/>
        </w:tcPr>
        <w:p w:rsidR="007F22E0" w:rsidRDefault="007F22E0">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72097E">
            <w:rPr>
              <w:rFonts w:ascii="Arial" w:hAnsi="Arial"/>
              <w:sz w:val="18"/>
            </w:rPr>
            <w:t>1.0</w:t>
          </w:r>
          <w:r>
            <w:rPr>
              <w:rFonts w:ascii="Arial" w:hAnsi="Arial"/>
              <w:sz w:val="18"/>
            </w:rPr>
            <w:fldChar w:fldCharType="end"/>
          </w:r>
        </w:p>
      </w:tc>
      <w:tc>
        <w:tcPr>
          <w:tcW w:w="930" w:type="dxa"/>
          <w:vAlign w:val="center"/>
        </w:tcPr>
        <w:p w:rsidR="007F22E0" w:rsidRDefault="007F22E0" w:rsidP="0072097E">
          <w:pPr>
            <w:tabs>
              <w:tab w:val="center" w:pos="5232"/>
              <w:tab w:val="right" w:pos="10465"/>
            </w:tabs>
            <w:suppressAutoHyphens/>
            <w:jc w:val="right"/>
          </w:pPr>
          <w:r>
            <w:fldChar w:fldCharType="begin"/>
          </w:r>
          <w:r>
            <w:instrText>page \* arabic</w:instrText>
          </w:r>
          <w:r>
            <w:fldChar w:fldCharType="separate"/>
          </w:r>
          <w:r w:rsidR="00AE60C8">
            <w:rPr>
              <w:noProof/>
            </w:rPr>
            <w:t>2</w:t>
          </w:r>
          <w:r>
            <w:fldChar w:fldCharType="end"/>
          </w:r>
          <w:r>
            <w:t xml:space="preserve"> of </w:t>
          </w:r>
          <w:r w:rsidR="00E7740D">
            <w:t>12</w:t>
          </w:r>
        </w:p>
      </w:tc>
    </w:tr>
  </w:tbl>
  <w:p w:rsidR="007F22E0" w:rsidRDefault="007F22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86C" w:rsidRDefault="006A586C">
      <w:r>
        <w:separator/>
      </w:r>
    </w:p>
  </w:footnote>
  <w:footnote w:type="continuationSeparator" w:id="0">
    <w:p w:rsidR="006A586C" w:rsidRDefault="006A58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nsid w:val="09633D62"/>
    <w:multiLevelType w:val="hybridMultilevel"/>
    <w:tmpl w:val="1AD85B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3">
    <w:nsid w:val="1AE45828"/>
    <w:multiLevelType w:val="hybridMultilevel"/>
    <w:tmpl w:val="5D24A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5">
    <w:nsid w:val="27762517"/>
    <w:multiLevelType w:val="hybridMultilevel"/>
    <w:tmpl w:val="1ED64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0475672"/>
    <w:multiLevelType w:val="hybridMultilevel"/>
    <w:tmpl w:val="24CCF7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E592FC5"/>
    <w:multiLevelType w:val="hybridMultilevel"/>
    <w:tmpl w:val="BB123F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9">
    <w:nsid w:val="473201C8"/>
    <w:multiLevelType w:val="hybridMultilevel"/>
    <w:tmpl w:val="1B68D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F3E37A6"/>
    <w:multiLevelType w:val="hybridMultilevel"/>
    <w:tmpl w:val="32BA5C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12">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13">
    <w:nsid w:val="76823DBC"/>
    <w:multiLevelType w:val="hybridMultilevel"/>
    <w:tmpl w:val="3664F4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CE128D5"/>
    <w:multiLevelType w:val="hybridMultilevel"/>
    <w:tmpl w:val="3B82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
  </w:num>
  <w:num w:numId="3">
    <w:abstractNumId w:val="4"/>
  </w:num>
  <w:num w:numId="4">
    <w:abstractNumId w:val="8"/>
  </w:num>
  <w:num w:numId="5">
    <w:abstractNumId w:val="0"/>
  </w:num>
  <w:num w:numId="6">
    <w:abstractNumId w:val="11"/>
  </w:num>
  <w:num w:numId="7">
    <w:abstractNumId w:val="7"/>
  </w:num>
  <w:num w:numId="8">
    <w:abstractNumId w:val="6"/>
  </w:num>
  <w:num w:numId="9">
    <w:abstractNumId w:val="10"/>
  </w:num>
  <w:num w:numId="10">
    <w:abstractNumId w:val="14"/>
  </w:num>
  <w:num w:numId="11">
    <w:abstractNumId w:val="9"/>
  </w:num>
  <w:num w:numId="12">
    <w:abstractNumId w:val="5"/>
  </w:num>
  <w:num w:numId="13">
    <w:abstractNumId w:val="13"/>
  </w:num>
  <w:num w:numId="14">
    <w:abstractNumId w:val="1"/>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90EAA"/>
    <w:rsid w:val="000059CD"/>
    <w:rsid w:val="00006D91"/>
    <w:rsid w:val="000073EC"/>
    <w:rsid w:val="0001137A"/>
    <w:rsid w:val="00012AC1"/>
    <w:rsid w:val="0001377E"/>
    <w:rsid w:val="00014D9F"/>
    <w:rsid w:val="00016FCA"/>
    <w:rsid w:val="000214A9"/>
    <w:rsid w:val="00023A77"/>
    <w:rsid w:val="00023FC7"/>
    <w:rsid w:val="00025361"/>
    <w:rsid w:val="00027192"/>
    <w:rsid w:val="00027417"/>
    <w:rsid w:val="000330B0"/>
    <w:rsid w:val="0003379F"/>
    <w:rsid w:val="000342CA"/>
    <w:rsid w:val="00036C80"/>
    <w:rsid w:val="0003797B"/>
    <w:rsid w:val="0004455F"/>
    <w:rsid w:val="00044EB7"/>
    <w:rsid w:val="00044FDD"/>
    <w:rsid w:val="000453DD"/>
    <w:rsid w:val="00046C14"/>
    <w:rsid w:val="000478F9"/>
    <w:rsid w:val="000500B3"/>
    <w:rsid w:val="0005080E"/>
    <w:rsid w:val="0005784D"/>
    <w:rsid w:val="000629C0"/>
    <w:rsid w:val="00073168"/>
    <w:rsid w:val="0007487D"/>
    <w:rsid w:val="00075F4A"/>
    <w:rsid w:val="00077A38"/>
    <w:rsid w:val="000802CD"/>
    <w:rsid w:val="000864D4"/>
    <w:rsid w:val="000904A3"/>
    <w:rsid w:val="00091573"/>
    <w:rsid w:val="000937C2"/>
    <w:rsid w:val="0009382C"/>
    <w:rsid w:val="0009688E"/>
    <w:rsid w:val="00096E49"/>
    <w:rsid w:val="000A0D20"/>
    <w:rsid w:val="000A2F0C"/>
    <w:rsid w:val="000A2F28"/>
    <w:rsid w:val="000A5451"/>
    <w:rsid w:val="000A55A3"/>
    <w:rsid w:val="000A5D24"/>
    <w:rsid w:val="000A636F"/>
    <w:rsid w:val="000A75BA"/>
    <w:rsid w:val="000B285E"/>
    <w:rsid w:val="000B78BF"/>
    <w:rsid w:val="000B78C8"/>
    <w:rsid w:val="000C07A7"/>
    <w:rsid w:val="000C08A6"/>
    <w:rsid w:val="000C1DC8"/>
    <w:rsid w:val="000C278F"/>
    <w:rsid w:val="000C43BC"/>
    <w:rsid w:val="000C5F90"/>
    <w:rsid w:val="000C6E3F"/>
    <w:rsid w:val="000C7479"/>
    <w:rsid w:val="000C7AB6"/>
    <w:rsid w:val="000D1EF0"/>
    <w:rsid w:val="000D4B0F"/>
    <w:rsid w:val="000D6080"/>
    <w:rsid w:val="000E0ED8"/>
    <w:rsid w:val="000E175D"/>
    <w:rsid w:val="000E36A2"/>
    <w:rsid w:val="000E53E0"/>
    <w:rsid w:val="000E626B"/>
    <w:rsid w:val="000F477B"/>
    <w:rsid w:val="000F73B3"/>
    <w:rsid w:val="0010221A"/>
    <w:rsid w:val="001045C2"/>
    <w:rsid w:val="00104622"/>
    <w:rsid w:val="00105304"/>
    <w:rsid w:val="00112229"/>
    <w:rsid w:val="001139A6"/>
    <w:rsid w:val="00114951"/>
    <w:rsid w:val="001150C0"/>
    <w:rsid w:val="00115847"/>
    <w:rsid w:val="00117B13"/>
    <w:rsid w:val="001225DB"/>
    <w:rsid w:val="00123DD0"/>
    <w:rsid w:val="00125B6D"/>
    <w:rsid w:val="00125CFD"/>
    <w:rsid w:val="00130215"/>
    <w:rsid w:val="00130AFB"/>
    <w:rsid w:val="00131CB8"/>
    <w:rsid w:val="001321DC"/>
    <w:rsid w:val="00135BA3"/>
    <w:rsid w:val="00135D27"/>
    <w:rsid w:val="001364DC"/>
    <w:rsid w:val="00137367"/>
    <w:rsid w:val="00143845"/>
    <w:rsid w:val="00146E58"/>
    <w:rsid w:val="0015025F"/>
    <w:rsid w:val="0015034C"/>
    <w:rsid w:val="00150861"/>
    <w:rsid w:val="0015254C"/>
    <w:rsid w:val="00153B8D"/>
    <w:rsid w:val="001543A8"/>
    <w:rsid w:val="00154D85"/>
    <w:rsid w:val="00155A64"/>
    <w:rsid w:val="00156A17"/>
    <w:rsid w:val="00162350"/>
    <w:rsid w:val="00165525"/>
    <w:rsid w:val="00166A4E"/>
    <w:rsid w:val="00171501"/>
    <w:rsid w:val="00172E6A"/>
    <w:rsid w:val="0017433D"/>
    <w:rsid w:val="00177C76"/>
    <w:rsid w:val="0018025B"/>
    <w:rsid w:val="001813CA"/>
    <w:rsid w:val="001845D4"/>
    <w:rsid w:val="00186282"/>
    <w:rsid w:val="0018630E"/>
    <w:rsid w:val="001864EE"/>
    <w:rsid w:val="0019036C"/>
    <w:rsid w:val="00190C77"/>
    <w:rsid w:val="00196DAC"/>
    <w:rsid w:val="001A010F"/>
    <w:rsid w:val="001A0C71"/>
    <w:rsid w:val="001A1110"/>
    <w:rsid w:val="001A12D0"/>
    <w:rsid w:val="001A1929"/>
    <w:rsid w:val="001B09C1"/>
    <w:rsid w:val="001B23B8"/>
    <w:rsid w:val="001B2A16"/>
    <w:rsid w:val="001B4434"/>
    <w:rsid w:val="001B481B"/>
    <w:rsid w:val="001B49BE"/>
    <w:rsid w:val="001C5B87"/>
    <w:rsid w:val="001C7833"/>
    <w:rsid w:val="001D0139"/>
    <w:rsid w:val="001D5835"/>
    <w:rsid w:val="001D5B94"/>
    <w:rsid w:val="001D7BB3"/>
    <w:rsid w:val="001E117F"/>
    <w:rsid w:val="001E38BE"/>
    <w:rsid w:val="001E4A84"/>
    <w:rsid w:val="001E58AC"/>
    <w:rsid w:val="001F3008"/>
    <w:rsid w:val="001F4C52"/>
    <w:rsid w:val="001F55CF"/>
    <w:rsid w:val="001F682C"/>
    <w:rsid w:val="0020036B"/>
    <w:rsid w:val="002007E6"/>
    <w:rsid w:val="00204CB8"/>
    <w:rsid w:val="00206BB7"/>
    <w:rsid w:val="0020781F"/>
    <w:rsid w:val="0021010F"/>
    <w:rsid w:val="0021049A"/>
    <w:rsid w:val="00210B2B"/>
    <w:rsid w:val="002128C6"/>
    <w:rsid w:val="002138D9"/>
    <w:rsid w:val="002141CC"/>
    <w:rsid w:val="002147E7"/>
    <w:rsid w:val="00214F67"/>
    <w:rsid w:val="00216BBF"/>
    <w:rsid w:val="0022089C"/>
    <w:rsid w:val="002217D3"/>
    <w:rsid w:val="002231F2"/>
    <w:rsid w:val="00223371"/>
    <w:rsid w:val="00223D6E"/>
    <w:rsid w:val="002250C0"/>
    <w:rsid w:val="0022519F"/>
    <w:rsid w:val="00237C7C"/>
    <w:rsid w:val="002402ED"/>
    <w:rsid w:val="002406AF"/>
    <w:rsid w:val="00242658"/>
    <w:rsid w:val="002428B0"/>
    <w:rsid w:val="002429B3"/>
    <w:rsid w:val="00243539"/>
    <w:rsid w:val="00244243"/>
    <w:rsid w:val="00244CCC"/>
    <w:rsid w:val="00246BBF"/>
    <w:rsid w:val="00247CE3"/>
    <w:rsid w:val="00247DEE"/>
    <w:rsid w:val="00254974"/>
    <w:rsid w:val="00256906"/>
    <w:rsid w:val="00257D91"/>
    <w:rsid w:val="00260462"/>
    <w:rsid w:val="002645B8"/>
    <w:rsid w:val="00265C8C"/>
    <w:rsid w:val="00266495"/>
    <w:rsid w:val="0026717D"/>
    <w:rsid w:val="002717A1"/>
    <w:rsid w:val="00272748"/>
    <w:rsid w:val="00273CB9"/>
    <w:rsid w:val="00274474"/>
    <w:rsid w:val="00274850"/>
    <w:rsid w:val="00275E50"/>
    <w:rsid w:val="0028140B"/>
    <w:rsid w:val="00285E68"/>
    <w:rsid w:val="0028619D"/>
    <w:rsid w:val="00286932"/>
    <w:rsid w:val="00291D9A"/>
    <w:rsid w:val="00292B7E"/>
    <w:rsid w:val="00293163"/>
    <w:rsid w:val="0029522E"/>
    <w:rsid w:val="00296B60"/>
    <w:rsid w:val="00297982"/>
    <w:rsid w:val="002B0A2B"/>
    <w:rsid w:val="002B35E5"/>
    <w:rsid w:val="002B4200"/>
    <w:rsid w:val="002B547C"/>
    <w:rsid w:val="002B5C9F"/>
    <w:rsid w:val="002B618D"/>
    <w:rsid w:val="002B77AA"/>
    <w:rsid w:val="002C1A11"/>
    <w:rsid w:val="002C224F"/>
    <w:rsid w:val="002C3AE4"/>
    <w:rsid w:val="002C5688"/>
    <w:rsid w:val="002C75DF"/>
    <w:rsid w:val="002D0536"/>
    <w:rsid w:val="002D06E4"/>
    <w:rsid w:val="002D4C8E"/>
    <w:rsid w:val="002D7BB8"/>
    <w:rsid w:val="002E0421"/>
    <w:rsid w:val="002E16A3"/>
    <w:rsid w:val="002E1D9D"/>
    <w:rsid w:val="002E4E3C"/>
    <w:rsid w:val="002F02F3"/>
    <w:rsid w:val="002F0ACA"/>
    <w:rsid w:val="002F12A3"/>
    <w:rsid w:val="002F2C20"/>
    <w:rsid w:val="002F3973"/>
    <w:rsid w:val="002F448F"/>
    <w:rsid w:val="002F4632"/>
    <w:rsid w:val="002F70BF"/>
    <w:rsid w:val="00301969"/>
    <w:rsid w:val="00302A76"/>
    <w:rsid w:val="00303A9E"/>
    <w:rsid w:val="00304860"/>
    <w:rsid w:val="003078AB"/>
    <w:rsid w:val="003104E4"/>
    <w:rsid w:val="003107E0"/>
    <w:rsid w:val="00310E4F"/>
    <w:rsid w:val="0031343C"/>
    <w:rsid w:val="003135AC"/>
    <w:rsid w:val="003155EE"/>
    <w:rsid w:val="00316228"/>
    <w:rsid w:val="0032115F"/>
    <w:rsid w:val="00321CE8"/>
    <w:rsid w:val="00322E8A"/>
    <w:rsid w:val="0032528B"/>
    <w:rsid w:val="00325757"/>
    <w:rsid w:val="0033019E"/>
    <w:rsid w:val="003310C5"/>
    <w:rsid w:val="0033249C"/>
    <w:rsid w:val="003334A5"/>
    <w:rsid w:val="003338D8"/>
    <w:rsid w:val="00333A95"/>
    <w:rsid w:val="003349A8"/>
    <w:rsid w:val="00343B0E"/>
    <w:rsid w:val="00344EE8"/>
    <w:rsid w:val="00345290"/>
    <w:rsid w:val="00345DB5"/>
    <w:rsid w:val="00346886"/>
    <w:rsid w:val="003518A7"/>
    <w:rsid w:val="00353B86"/>
    <w:rsid w:val="003568C7"/>
    <w:rsid w:val="0036103A"/>
    <w:rsid w:val="00362FD2"/>
    <w:rsid w:val="00363B0A"/>
    <w:rsid w:val="003648CC"/>
    <w:rsid w:val="0036703C"/>
    <w:rsid w:val="0036784D"/>
    <w:rsid w:val="00372682"/>
    <w:rsid w:val="00372D60"/>
    <w:rsid w:val="00373564"/>
    <w:rsid w:val="003757FD"/>
    <w:rsid w:val="00380C41"/>
    <w:rsid w:val="00381652"/>
    <w:rsid w:val="003830D3"/>
    <w:rsid w:val="00384335"/>
    <w:rsid w:val="00384DDA"/>
    <w:rsid w:val="00384F67"/>
    <w:rsid w:val="00390A6C"/>
    <w:rsid w:val="00390B19"/>
    <w:rsid w:val="00394941"/>
    <w:rsid w:val="00395398"/>
    <w:rsid w:val="00396E00"/>
    <w:rsid w:val="003A08FD"/>
    <w:rsid w:val="003A0E75"/>
    <w:rsid w:val="003A20EF"/>
    <w:rsid w:val="003A447D"/>
    <w:rsid w:val="003A4EEC"/>
    <w:rsid w:val="003A5D06"/>
    <w:rsid w:val="003A7515"/>
    <w:rsid w:val="003B1C02"/>
    <w:rsid w:val="003B2FDA"/>
    <w:rsid w:val="003B4045"/>
    <w:rsid w:val="003B47F5"/>
    <w:rsid w:val="003C0866"/>
    <w:rsid w:val="003C27F0"/>
    <w:rsid w:val="003C2E87"/>
    <w:rsid w:val="003C4904"/>
    <w:rsid w:val="003C4B9A"/>
    <w:rsid w:val="003C5670"/>
    <w:rsid w:val="003C660F"/>
    <w:rsid w:val="003C6FA3"/>
    <w:rsid w:val="003C741C"/>
    <w:rsid w:val="003C7C19"/>
    <w:rsid w:val="003C7E6B"/>
    <w:rsid w:val="003D2356"/>
    <w:rsid w:val="003D2459"/>
    <w:rsid w:val="003D2EA5"/>
    <w:rsid w:val="003D3317"/>
    <w:rsid w:val="003D45BD"/>
    <w:rsid w:val="003D76C4"/>
    <w:rsid w:val="003E0C5D"/>
    <w:rsid w:val="003E67C1"/>
    <w:rsid w:val="003E7BB2"/>
    <w:rsid w:val="003F559A"/>
    <w:rsid w:val="004009FF"/>
    <w:rsid w:val="004021AF"/>
    <w:rsid w:val="00405409"/>
    <w:rsid w:val="0040627C"/>
    <w:rsid w:val="004062D4"/>
    <w:rsid w:val="00407759"/>
    <w:rsid w:val="00411772"/>
    <w:rsid w:val="004134AD"/>
    <w:rsid w:val="00416435"/>
    <w:rsid w:val="004166E7"/>
    <w:rsid w:val="004172EF"/>
    <w:rsid w:val="004201E6"/>
    <w:rsid w:val="004215DC"/>
    <w:rsid w:val="004248FC"/>
    <w:rsid w:val="004249CA"/>
    <w:rsid w:val="0043088F"/>
    <w:rsid w:val="004310EF"/>
    <w:rsid w:val="004313BC"/>
    <w:rsid w:val="00431431"/>
    <w:rsid w:val="00433A41"/>
    <w:rsid w:val="00434F0D"/>
    <w:rsid w:val="00436060"/>
    <w:rsid w:val="004366FE"/>
    <w:rsid w:val="00437B8F"/>
    <w:rsid w:val="00441B2A"/>
    <w:rsid w:val="004420D7"/>
    <w:rsid w:val="00442791"/>
    <w:rsid w:val="00443FA2"/>
    <w:rsid w:val="00444701"/>
    <w:rsid w:val="0044541D"/>
    <w:rsid w:val="00446516"/>
    <w:rsid w:val="00446FBF"/>
    <w:rsid w:val="0044710C"/>
    <w:rsid w:val="004534C3"/>
    <w:rsid w:val="00453B73"/>
    <w:rsid w:val="0045518E"/>
    <w:rsid w:val="0045558D"/>
    <w:rsid w:val="0045654C"/>
    <w:rsid w:val="00460ECF"/>
    <w:rsid w:val="00462CF9"/>
    <w:rsid w:val="0046401A"/>
    <w:rsid w:val="0046425E"/>
    <w:rsid w:val="004643DF"/>
    <w:rsid w:val="00465820"/>
    <w:rsid w:val="0048189F"/>
    <w:rsid w:val="00492537"/>
    <w:rsid w:val="004927A8"/>
    <w:rsid w:val="004940F6"/>
    <w:rsid w:val="00497618"/>
    <w:rsid w:val="004978F6"/>
    <w:rsid w:val="004A386D"/>
    <w:rsid w:val="004A494C"/>
    <w:rsid w:val="004A6712"/>
    <w:rsid w:val="004B0191"/>
    <w:rsid w:val="004B1244"/>
    <w:rsid w:val="004B16D9"/>
    <w:rsid w:val="004B4A42"/>
    <w:rsid w:val="004B54F7"/>
    <w:rsid w:val="004C1479"/>
    <w:rsid w:val="004C2399"/>
    <w:rsid w:val="004C4EAB"/>
    <w:rsid w:val="004C536E"/>
    <w:rsid w:val="004C6E81"/>
    <w:rsid w:val="004D14BB"/>
    <w:rsid w:val="004D45C7"/>
    <w:rsid w:val="004D6C7F"/>
    <w:rsid w:val="004E305B"/>
    <w:rsid w:val="004E35E4"/>
    <w:rsid w:val="004E3E3D"/>
    <w:rsid w:val="004E5C2B"/>
    <w:rsid w:val="004E7448"/>
    <w:rsid w:val="004F253B"/>
    <w:rsid w:val="004F396A"/>
    <w:rsid w:val="004F4B1C"/>
    <w:rsid w:val="004F59B7"/>
    <w:rsid w:val="004F72E2"/>
    <w:rsid w:val="004F766E"/>
    <w:rsid w:val="00500FF4"/>
    <w:rsid w:val="005013F2"/>
    <w:rsid w:val="00502052"/>
    <w:rsid w:val="00502836"/>
    <w:rsid w:val="00503B0C"/>
    <w:rsid w:val="00504A4A"/>
    <w:rsid w:val="005053EA"/>
    <w:rsid w:val="00505D98"/>
    <w:rsid w:val="005066DA"/>
    <w:rsid w:val="00507EE9"/>
    <w:rsid w:val="0051065B"/>
    <w:rsid w:val="00511348"/>
    <w:rsid w:val="0051323B"/>
    <w:rsid w:val="00515255"/>
    <w:rsid w:val="00515BF5"/>
    <w:rsid w:val="0051747F"/>
    <w:rsid w:val="00517D0E"/>
    <w:rsid w:val="005227BD"/>
    <w:rsid w:val="00522C94"/>
    <w:rsid w:val="00522FBC"/>
    <w:rsid w:val="00523595"/>
    <w:rsid w:val="0052455E"/>
    <w:rsid w:val="00526D0D"/>
    <w:rsid w:val="005302C7"/>
    <w:rsid w:val="00533CFF"/>
    <w:rsid w:val="00533F2B"/>
    <w:rsid w:val="00535E81"/>
    <w:rsid w:val="00537677"/>
    <w:rsid w:val="00542824"/>
    <w:rsid w:val="0054299A"/>
    <w:rsid w:val="00542D7A"/>
    <w:rsid w:val="005435CA"/>
    <w:rsid w:val="00543D92"/>
    <w:rsid w:val="00547968"/>
    <w:rsid w:val="00547EB4"/>
    <w:rsid w:val="00550446"/>
    <w:rsid w:val="00550C36"/>
    <w:rsid w:val="00552353"/>
    <w:rsid w:val="00554213"/>
    <w:rsid w:val="00554891"/>
    <w:rsid w:val="00555369"/>
    <w:rsid w:val="00556FE5"/>
    <w:rsid w:val="005604AF"/>
    <w:rsid w:val="005614F5"/>
    <w:rsid w:val="00561739"/>
    <w:rsid w:val="00564A08"/>
    <w:rsid w:val="005664F2"/>
    <w:rsid w:val="00570389"/>
    <w:rsid w:val="005707CD"/>
    <w:rsid w:val="0057298F"/>
    <w:rsid w:val="00574FC7"/>
    <w:rsid w:val="00576EE9"/>
    <w:rsid w:val="005773A4"/>
    <w:rsid w:val="00581CF4"/>
    <w:rsid w:val="0058365F"/>
    <w:rsid w:val="00587F61"/>
    <w:rsid w:val="00590045"/>
    <w:rsid w:val="005917EB"/>
    <w:rsid w:val="00594EA3"/>
    <w:rsid w:val="00595536"/>
    <w:rsid w:val="00596187"/>
    <w:rsid w:val="00597693"/>
    <w:rsid w:val="005A1D0C"/>
    <w:rsid w:val="005A2195"/>
    <w:rsid w:val="005A509A"/>
    <w:rsid w:val="005A5F49"/>
    <w:rsid w:val="005B0AEA"/>
    <w:rsid w:val="005B32B0"/>
    <w:rsid w:val="005B5BD5"/>
    <w:rsid w:val="005B63FC"/>
    <w:rsid w:val="005C0734"/>
    <w:rsid w:val="005C36AC"/>
    <w:rsid w:val="005C4116"/>
    <w:rsid w:val="005C4646"/>
    <w:rsid w:val="005C506D"/>
    <w:rsid w:val="005C77BB"/>
    <w:rsid w:val="005C78B6"/>
    <w:rsid w:val="005D4144"/>
    <w:rsid w:val="005D56A7"/>
    <w:rsid w:val="005D5C93"/>
    <w:rsid w:val="005E48DF"/>
    <w:rsid w:val="005E4EED"/>
    <w:rsid w:val="005E5EB8"/>
    <w:rsid w:val="005F574C"/>
    <w:rsid w:val="005F7081"/>
    <w:rsid w:val="00600966"/>
    <w:rsid w:val="00600B21"/>
    <w:rsid w:val="00603094"/>
    <w:rsid w:val="00607F0E"/>
    <w:rsid w:val="00611D99"/>
    <w:rsid w:val="00614B0D"/>
    <w:rsid w:val="006220FA"/>
    <w:rsid w:val="00627137"/>
    <w:rsid w:val="00627BA2"/>
    <w:rsid w:val="0063173B"/>
    <w:rsid w:val="006337AC"/>
    <w:rsid w:val="0063420E"/>
    <w:rsid w:val="006344CA"/>
    <w:rsid w:val="00634AD4"/>
    <w:rsid w:val="0063591D"/>
    <w:rsid w:val="00636BA6"/>
    <w:rsid w:val="00645CE3"/>
    <w:rsid w:val="006460A5"/>
    <w:rsid w:val="006474B5"/>
    <w:rsid w:val="006511FA"/>
    <w:rsid w:val="00652B5F"/>
    <w:rsid w:val="00653501"/>
    <w:rsid w:val="006548A0"/>
    <w:rsid w:val="00655FDD"/>
    <w:rsid w:val="006566A4"/>
    <w:rsid w:val="00660C7D"/>
    <w:rsid w:val="00661BC7"/>
    <w:rsid w:val="00663065"/>
    <w:rsid w:val="006727C9"/>
    <w:rsid w:val="00673356"/>
    <w:rsid w:val="006746FD"/>
    <w:rsid w:val="0067780E"/>
    <w:rsid w:val="00680723"/>
    <w:rsid w:val="00681336"/>
    <w:rsid w:val="006819A1"/>
    <w:rsid w:val="00682B8F"/>
    <w:rsid w:val="00682FF7"/>
    <w:rsid w:val="00684302"/>
    <w:rsid w:val="00684641"/>
    <w:rsid w:val="006854C0"/>
    <w:rsid w:val="00685A71"/>
    <w:rsid w:val="006860E4"/>
    <w:rsid w:val="006878C1"/>
    <w:rsid w:val="0069063C"/>
    <w:rsid w:val="00690F92"/>
    <w:rsid w:val="00691F5F"/>
    <w:rsid w:val="00693CFD"/>
    <w:rsid w:val="006945B0"/>
    <w:rsid w:val="00695318"/>
    <w:rsid w:val="006A428F"/>
    <w:rsid w:val="006A47DA"/>
    <w:rsid w:val="006A586C"/>
    <w:rsid w:val="006B09AB"/>
    <w:rsid w:val="006B2BFF"/>
    <w:rsid w:val="006B30AA"/>
    <w:rsid w:val="006B343A"/>
    <w:rsid w:val="006B7958"/>
    <w:rsid w:val="006C6EB9"/>
    <w:rsid w:val="006D139A"/>
    <w:rsid w:val="006D1EB9"/>
    <w:rsid w:val="006D33E3"/>
    <w:rsid w:val="006D3D7F"/>
    <w:rsid w:val="006D4C97"/>
    <w:rsid w:val="006D5FAE"/>
    <w:rsid w:val="006D7AE7"/>
    <w:rsid w:val="006E02B0"/>
    <w:rsid w:val="006E224C"/>
    <w:rsid w:val="006E40DC"/>
    <w:rsid w:val="006E5EC2"/>
    <w:rsid w:val="006E7113"/>
    <w:rsid w:val="006F26E2"/>
    <w:rsid w:val="006F4B7F"/>
    <w:rsid w:val="006F69C8"/>
    <w:rsid w:val="0070007B"/>
    <w:rsid w:val="00702EC4"/>
    <w:rsid w:val="0070318E"/>
    <w:rsid w:val="00704DCD"/>
    <w:rsid w:val="0070512F"/>
    <w:rsid w:val="00706391"/>
    <w:rsid w:val="00710AB2"/>
    <w:rsid w:val="00710C59"/>
    <w:rsid w:val="007152E5"/>
    <w:rsid w:val="00715CF0"/>
    <w:rsid w:val="0071650B"/>
    <w:rsid w:val="00716B1D"/>
    <w:rsid w:val="007174A7"/>
    <w:rsid w:val="0072097E"/>
    <w:rsid w:val="0072139B"/>
    <w:rsid w:val="00726C9B"/>
    <w:rsid w:val="007300EF"/>
    <w:rsid w:val="00730C09"/>
    <w:rsid w:val="0073281B"/>
    <w:rsid w:val="0073351B"/>
    <w:rsid w:val="007338BF"/>
    <w:rsid w:val="00737849"/>
    <w:rsid w:val="0074056F"/>
    <w:rsid w:val="00740ED4"/>
    <w:rsid w:val="0074565E"/>
    <w:rsid w:val="00747AE6"/>
    <w:rsid w:val="00747C23"/>
    <w:rsid w:val="007523F4"/>
    <w:rsid w:val="00752750"/>
    <w:rsid w:val="007527E0"/>
    <w:rsid w:val="00755451"/>
    <w:rsid w:val="007558A9"/>
    <w:rsid w:val="00762463"/>
    <w:rsid w:val="0076261C"/>
    <w:rsid w:val="00762814"/>
    <w:rsid w:val="00765363"/>
    <w:rsid w:val="00767206"/>
    <w:rsid w:val="00767802"/>
    <w:rsid w:val="00770368"/>
    <w:rsid w:val="00771EF0"/>
    <w:rsid w:val="0077248B"/>
    <w:rsid w:val="007754D8"/>
    <w:rsid w:val="00775AEC"/>
    <w:rsid w:val="0078039A"/>
    <w:rsid w:val="00782387"/>
    <w:rsid w:val="00785689"/>
    <w:rsid w:val="007912BE"/>
    <w:rsid w:val="007915DB"/>
    <w:rsid w:val="00793C68"/>
    <w:rsid w:val="00795BD3"/>
    <w:rsid w:val="007A02F8"/>
    <w:rsid w:val="007A0B57"/>
    <w:rsid w:val="007A382F"/>
    <w:rsid w:val="007A50D4"/>
    <w:rsid w:val="007A5181"/>
    <w:rsid w:val="007A5D38"/>
    <w:rsid w:val="007B19EA"/>
    <w:rsid w:val="007B41BA"/>
    <w:rsid w:val="007B46A4"/>
    <w:rsid w:val="007B5EA5"/>
    <w:rsid w:val="007B7BCB"/>
    <w:rsid w:val="007C22AC"/>
    <w:rsid w:val="007C5543"/>
    <w:rsid w:val="007C5834"/>
    <w:rsid w:val="007C5D2A"/>
    <w:rsid w:val="007C6102"/>
    <w:rsid w:val="007D0BB5"/>
    <w:rsid w:val="007D3F96"/>
    <w:rsid w:val="007D735B"/>
    <w:rsid w:val="007E0E63"/>
    <w:rsid w:val="007E190D"/>
    <w:rsid w:val="007E2504"/>
    <w:rsid w:val="007E2C1B"/>
    <w:rsid w:val="007E4457"/>
    <w:rsid w:val="007E567E"/>
    <w:rsid w:val="007E645C"/>
    <w:rsid w:val="007F22E0"/>
    <w:rsid w:val="007F2815"/>
    <w:rsid w:val="0080188B"/>
    <w:rsid w:val="00803552"/>
    <w:rsid w:val="00805A27"/>
    <w:rsid w:val="00812031"/>
    <w:rsid w:val="00813496"/>
    <w:rsid w:val="00813546"/>
    <w:rsid w:val="00815BF2"/>
    <w:rsid w:val="00815FF5"/>
    <w:rsid w:val="008179F9"/>
    <w:rsid w:val="008221A0"/>
    <w:rsid w:val="008227B1"/>
    <w:rsid w:val="008234B2"/>
    <w:rsid w:val="0082596A"/>
    <w:rsid w:val="00825E3F"/>
    <w:rsid w:val="00825F65"/>
    <w:rsid w:val="008277DA"/>
    <w:rsid w:val="00830FEB"/>
    <w:rsid w:val="00832A74"/>
    <w:rsid w:val="008367AD"/>
    <w:rsid w:val="008419F1"/>
    <w:rsid w:val="00843661"/>
    <w:rsid w:val="00850BAA"/>
    <w:rsid w:val="00851847"/>
    <w:rsid w:val="0085364E"/>
    <w:rsid w:val="0086354C"/>
    <w:rsid w:val="008640F8"/>
    <w:rsid w:val="00864AC6"/>
    <w:rsid w:val="00864E06"/>
    <w:rsid w:val="00866A15"/>
    <w:rsid w:val="00870179"/>
    <w:rsid w:val="00871FA0"/>
    <w:rsid w:val="008742EE"/>
    <w:rsid w:val="00875845"/>
    <w:rsid w:val="008758B4"/>
    <w:rsid w:val="00876413"/>
    <w:rsid w:val="00880A2C"/>
    <w:rsid w:val="00881762"/>
    <w:rsid w:val="008829D4"/>
    <w:rsid w:val="00882DB7"/>
    <w:rsid w:val="00882ECC"/>
    <w:rsid w:val="008872E1"/>
    <w:rsid w:val="008876BE"/>
    <w:rsid w:val="00890B1D"/>
    <w:rsid w:val="008914C7"/>
    <w:rsid w:val="008A18E8"/>
    <w:rsid w:val="008A27BF"/>
    <w:rsid w:val="008A67E0"/>
    <w:rsid w:val="008B2DFB"/>
    <w:rsid w:val="008C06E4"/>
    <w:rsid w:val="008C09C2"/>
    <w:rsid w:val="008C3249"/>
    <w:rsid w:val="008C68F0"/>
    <w:rsid w:val="008C7525"/>
    <w:rsid w:val="008C77BA"/>
    <w:rsid w:val="008D0AF4"/>
    <w:rsid w:val="008D326B"/>
    <w:rsid w:val="008D6A16"/>
    <w:rsid w:val="008E46E3"/>
    <w:rsid w:val="008E645B"/>
    <w:rsid w:val="008E6AC4"/>
    <w:rsid w:val="008E6B4C"/>
    <w:rsid w:val="008E6CF1"/>
    <w:rsid w:val="008E7B3D"/>
    <w:rsid w:val="008E7D9D"/>
    <w:rsid w:val="008E7E92"/>
    <w:rsid w:val="008F2282"/>
    <w:rsid w:val="008F5DE7"/>
    <w:rsid w:val="008F6824"/>
    <w:rsid w:val="008F6C2E"/>
    <w:rsid w:val="008F7D44"/>
    <w:rsid w:val="0090625A"/>
    <w:rsid w:val="0090660F"/>
    <w:rsid w:val="009067E2"/>
    <w:rsid w:val="0091070B"/>
    <w:rsid w:val="00910F5C"/>
    <w:rsid w:val="00912D67"/>
    <w:rsid w:val="009142DD"/>
    <w:rsid w:val="00915B2A"/>
    <w:rsid w:val="00916652"/>
    <w:rsid w:val="009166E4"/>
    <w:rsid w:val="00920BB9"/>
    <w:rsid w:val="009239EF"/>
    <w:rsid w:val="00926703"/>
    <w:rsid w:val="00932057"/>
    <w:rsid w:val="00933794"/>
    <w:rsid w:val="00935789"/>
    <w:rsid w:val="00936AE3"/>
    <w:rsid w:val="00937B8A"/>
    <w:rsid w:val="009406F6"/>
    <w:rsid w:val="009445E9"/>
    <w:rsid w:val="00944B79"/>
    <w:rsid w:val="00945882"/>
    <w:rsid w:val="009502C1"/>
    <w:rsid w:val="009534B8"/>
    <w:rsid w:val="00961181"/>
    <w:rsid w:val="0096119F"/>
    <w:rsid w:val="009627E4"/>
    <w:rsid w:val="00964F20"/>
    <w:rsid w:val="00965A9C"/>
    <w:rsid w:val="00966E3E"/>
    <w:rsid w:val="009675C7"/>
    <w:rsid w:val="00967BC2"/>
    <w:rsid w:val="009708C5"/>
    <w:rsid w:val="0097204B"/>
    <w:rsid w:val="00972288"/>
    <w:rsid w:val="00976247"/>
    <w:rsid w:val="009837BB"/>
    <w:rsid w:val="009844EA"/>
    <w:rsid w:val="009858B6"/>
    <w:rsid w:val="0098640D"/>
    <w:rsid w:val="00986463"/>
    <w:rsid w:val="009905A7"/>
    <w:rsid w:val="00992C69"/>
    <w:rsid w:val="00994B86"/>
    <w:rsid w:val="009A4DFC"/>
    <w:rsid w:val="009A5DDC"/>
    <w:rsid w:val="009A6621"/>
    <w:rsid w:val="009A69B4"/>
    <w:rsid w:val="009B5998"/>
    <w:rsid w:val="009C0634"/>
    <w:rsid w:val="009C0B43"/>
    <w:rsid w:val="009C24B6"/>
    <w:rsid w:val="009C2CAE"/>
    <w:rsid w:val="009C5265"/>
    <w:rsid w:val="009C6160"/>
    <w:rsid w:val="009C6BF3"/>
    <w:rsid w:val="009C7466"/>
    <w:rsid w:val="009C7E4D"/>
    <w:rsid w:val="009D33A2"/>
    <w:rsid w:val="009D395B"/>
    <w:rsid w:val="009D5A92"/>
    <w:rsid w:val="009D623B"/>
    <w:rsid w:val="009D6312"/>
    <w:rsid w:val="009E4060"/>
    <w:rsid w:val="009E528A"/>
    <w:rsid w:val="009F10A5"/>
    <w:rsid w:val="009F2677"/>
    <w:rsid w:val="009F3D0B"/>
    <w:rsid w:val="009F3D23"/>
    <w:rsid w:val="00A04635"/>
    <w:rsid w:val="00A071DE"/>
    <w:rsid w:val="00A07B36"/>
    <w:rsid w:val="00A106E7"/>
    <w:rsid w:val="00A1183A"/>
    <w:rsid w:val="00A12CDA"/>
    <w:rsid w:val="00A15965"/>
    <w:rsid w:val="00A16004"/>
    <w:rsid w:val="00A23116"/>
    <w:rsid w:val="00A2573D"/>
    <w:rsid w:val="00A26B05"/>
    <w:rsid w:val="00A30387"/>
    <w:rsid w:val="00A36300"/>
    <w:rsid w:val="00A41985"/>
    <w:rsid w:val="00A41CF0"/>
    <w:rsid w:val="00A4278A"/>
    <w:rsid w:val="00A50D75"/>
    <w:rsid w:val="00A5160D"/>
    <w:rsid w:val="00A55BC8"/>
    <w:rsid w:val="00A56DA4"/>
    <w:rsid w:val="00A56FA8"/>
    <w:rsid w:val="00A605C0"/>
    <w:rsid w:val="00A6209D"/>
    <w:rsid w:val="00A65084"/>
    <w:rsid w:val="00A65952"/>
    <w:rsid w:val="00A661E2"/>
    <w:rsid w:val="00A66BBD"/>
    <w:rsid w:val="00A67B2F"/>
    <w:rsid w:val="00A67B41"/>
    <w:rsid w:val="00A67C80"/>
    <w:rsid w:val="00A74BB5"/>
    <w:rsid w:val="00A75B1A"/>
    <w:rsid w:val="00A77112"/>
    <w:rsid w:val="00A8018E"/>
    <w:rsid w:val="00A806C4"/>
    <w:rsid w:val="00A81885"/>
    <w:rsid w:val="00A82815"/>
    <w:rsid w:val="00A835E4"/>
    <w:rsid w:val="00A844A5"/>
    <w:rsid w:val="00A853EE"/>
    <w:rsid w:val="00A909AC"/>
    <w:rsid w:val="00A9246E"/>
    <w:rsid w:val="00A95CDF"/>
    <w:rsid w:val="00A9700C"/>
    <w:rsid w:val="00A97355"/>
    <w:rsid w:val="00A97B50"/>
    <w:rsid w:val="00AA09B3"/>
    <w:rsid w:val="00AA2871"/>
    <w:rsid w:val="00AA4CF1"/>
    <w:rsid w:val="00AA5248"/>
    <w:rsid w:val="00AB07BE"/>
    <w:rsid w:val="00AB0E8D"/>
    <w:rsid w:val="00AB353A"/>
    <w:rsid w:val="00AD170F"/>
    <w:rsid w:val="00AD1F28"/>
    <w:rsid w:val="00AD2221"/>
    <w:rsid w:val="00AD30F5"/>
    <w:rsid w:val="00AD32AD"/>
    <w:rsid w:val="00AD5142"/>
    <w:rsid w:val="00AD5A0D"/>
    <w:rsid w:val="00AD67A0"/>
    <w:rsid w:val="00AD7DB4"/>
    <w:rsid w:val="00AE3E47"/>
    <w:rsid w:val="00AE46D6"/>
    <w:rsid w:val="00AE60C8"/>
    <w:rsid w:val="00AE7DEF"/>
    <w:rsid w:val="00AF19C2"/>
    <w:rsid w:val="00AF27DE"/>
    <w:rsid w:val="00AF6ABE"/>
    <w:rsid w:val="00AF6F21"/>
    <w:rsid w:val="00B00561"/>
    <w:rsid w:val="00B015E3"/>
    <w:rsid w:val="00B03582"/>
    <w:rsid w:val="00B03A56"/>
    <w:rsid w:val="00B0491E"/>
    <w:rsid w:val="00B07509"/>
    <w:rsid w:val="00B11A5B"/>
    <w:rsid w:val="00B1204C"/>
    <w:rsid w:val="00B12988"/>
    <w:rsid w:val="00B13BC1"/>
    <w:rsid w:val="00B1701E"/>
    <w:rsid w:val="00B20B5C"/>
    <w:rsid w:val="00B20F5A"/>
    <w:rsid w:val="00B21C69"/>
    <w:rsid w:val="00B229F4"/>
    <w:rsid w:val="00B23114"/>
    <w:rsid w:val="00B25656"/>
    <w:rsid w:val="00B31029"/>
    <w:rsid w:val="00B334C3"/>
    <w:rsid w:val="00B37298"/>
    <w:rsid w:val="00B513B7"/>
    <w:rsid w:val="00B514DA"/>
    <w:rsid w:val="00B5154A"/>
    <w:rsid w:val="00B52735"/>
    <w:rsid w:val="00B52BA5"/>
    <w:rsid w:val="00B53A73"/>
    <w:rsid w:val="00B55215"/>
    <w:rsid w:val="00B61696"/>
    <w:rsid w:val="00B6216A"/>
    <w:rsid w:val="00B62C8F"/>
    <w:rsid w:val="00B63298"/>
    <w:rsid w:val="00B63EC8"/>
    <w:rsid w:val="00B64195"/>
    <w:rsid w:val="00B65A22"/>
    <w:rsid w:val="00B6606B"/>
    <w:rsid w:val="00B67A17"/>
    <w:rsid w:val="00B67CB7"/>
    <w:rsid w:val="00B70FCB"/>
    <w:rsid w:val="00B714B7"/>
    <w:rsid w:val="00B723AA"/>
    <w:rsid w:val="00B735F4"/>
    <w:rsid w:val="00B73EEA"/>
    <w:rsid w:val="00B76D55"/>
    <w:rsid w:val="00B81B6F"/>
    <w:rsid w:val="00B83114"/>
    <w:rsid w:val="00B83C9B"/>
    <w:rsid w:val="00B83D47"/>
    <w:rsid w:val="00B922F3"/>
    <w:rsid w:val="00B92A4F"/>
    <w:rsid w:val="00B92E57"/>
    <w:rsid w:val="00B93EC1"/>
    <w:rsid w:val="00B94B68"/>
    <w:rsid w:val="00B958E8"/>
    <w:rsid w:val="00B96F97"/>
    <w:rsid w:val="00B973D5"/>
    <w:rsid w:val="00B97496"/>
    <w:rsid w:val="00B9753F"/>
    <w:rsid w:val="00BA0078"/>
    <w:rsid w:val="00BA12BD"/>
    <w:rsid w:val="00BA1845"/>
    <w:rsid w:val="00BA2F2C"/>
    <w:rsid w:val="00BA5827"/>
    <w:rsid w:val="00BA643F"/>
    <w:rsid w:val="00BA654A"/>
    <w:rsid w:val="00BA7823"/>
    <w:rsid w:val="00BB00E4"/>
    <w:rsid w:val="00BB02AE"/>
    <w:rsid w:val="00BB61A2"/>
    <w:rsid w:val="00BB7A8A"/>
    <w:rsid w:val="00BB7FBF"/>
    <w:rsid w:val="00BC33DB"/>
    <w:rsid w:val="00BC7D5F"/>
    <w:rsid w:val="00BD0BE1"/>
    <w:rsid w:val="00BD1792"/>
    <w:rsid w:val="00BD2BB6"/>
    <w:rsid w:val="00BD2D13"/>
    <w:rsid w:val="00BD3F7D"/>
    <w:rsid w:val="00BD4EC8"/>
    <w:rsid w:val="00BD6352"/>
    <w:rsid w:val="00BE1ADF"/>
    <w:rsid w:val="00BE3BB2"/>
    <w:rsid w:val="00BE5BD2"/>
    <w:rsid w:val="00BE6D19"/>
    <w:rsid w:val="00BE7E29"/>
    <w:rsid w:val="00BF0C0A"/>
    <w:rsid w:val="00BF255C"/>
    <w:rsid w:val="00BF43B4"/>
    <w:rsid w:val="00BF5089"/>
    <w:rsid w:val="00BF79D0"/>
    <w:rsid w:val="00BF7AFE"/>
    <w:rsid w:val="00C0202A"/>
    <w:rsid w:val="00C02F36"/>
    <w:rsid w:val="00C05BBC"/>
    <w:rsid w:val="00C100F2"/>
    <w:rsid w:val="00C12034"/>
    <w:rsid w:val="00C1679C"/>
    <w:rsid w:val="00C16853"/>
    <w:rsid w:val="00C17FA3"/>
    <w:rsid w:val="00C23DAA"/>
    <w:rsid w:val="00C24F41"/>
    <w:rsid w:val="00C260F5"/>
    <w:rsid w:val="00C314CF"/>
    <w:rsid w:val="00C337E2"/>
    <w:rsid w:val="00C36339"/>
    <w:rsid w:val="00C41073"/>
    <w:rsid w:val="00C411E2"/>
    <w:rsid w:val="00C428FC"/>
    <w:rsid w:val="00C45198"/>
    <w:rsid w:val="00C46A01"/>
    <w:rsid w:val="00C55BEE"/>
    <w:rsid w:val="00C5658B"/>
    <w:rsid w:val="00C57F11"/>
    <w:rsid w:val="00C60A41"/>
    <w:rsid w:val="00C60F91"/>
    <w:rsid w:val="00C61BFB"/>
    <w:rsid w:val="00C62754"/>
    <w:rsid w:val="00C66DD5"/>
    <w:rsid w:val="00C67A1B"/>
    <w:rsid w:val="00C72D7F"/>
    <w:rsid w:val="00C763AF"/>
    <w:rsid w:val="00C810F1"/>
    <w:rsid w:val="00C83535"/>
    <w:rsid w:val="00C838B8"/>
    <w:rsid w:val="00C83CB4"/>
    <w:rsid w:val="00C85F09"/>
    <w:rsid w:val="00C870CB"/>
    <w:rsid w:val="00C926F7"/>
    <w:rsid w:val="00C937B6"/>
    <w:rsid w:val="00C93ED9"/>
    <w:rsid w:val="00C940C8"/>
    <w:rsid w:val="00CA0DF2"/>
    <w:rsid w:val="00CA30B9"/>
    <w:rsid w:val="00CA3D33"/>
    <w:rsid w:val="00CA5B91"/>
    <w:rsid w:val="00CA5D9B"/>
    <w:rsid w:val="00CA6031"/>
    <w:rsid w:val="00CA6535"/>
    <w:rsid w:val="00CB076A"/>
    <w:rsid w:val="00CB2ECD"/>
    <w:rsid w:val="00CB329B"/>
    <w:rsid w:val="00CB487C"/>
    <w:rsid w:val="00CB6737"/>
    <w:rsid w:val="00CC68F0"/>
    <w:rsid w:val="00CD055E"/>
    <w:rsid w:val="00CD2401"/>
    <w:rsid w:val="00CD343B"/>
    <w:rsid w:val="00CD5832"/>
    <w:rsid w:val="00CD729E"/>
    <w:rsid w:val="00CE236A"/>
    <w:rsid w:val="00CE4D6C"/>
    <w:rsid w:val="00CF0519"/>
    <w:rsid w:val="00CF0ADF"/>
    <w:rsid w:val="00CF120B"/>
    <w:rsid w:val="00CF1878"/>
    <w:rsid w:val="00CF31EB"/>
    <w:rsid w:val="00D00C74"/>
    <w:rsid w:val="00D00CEE"/>
    <w:rsid w:val="00D0356F"/>
    <w:rsid w:val="00D05283"/>
    <w:rsid w:val="00D10D01"/>
    <w:rsid w:val="00D10FA0"/>
    <w:rsid w:val="00D1763E"/>
    <w:rsid w:val="00D23880"/>
    <w:rsid w:val="00D256C3"/>
    <w:rsid w:val="00D25DFB"/>
    <w:rsid w:val="00D26048"/>
    <w:rsid w:val="00D2682E"/>
    <w:rsid w:val="00D26CD5"/>
    <w:rsid w:val="00D300C6"/>
    <w:rsid w:val="00D32670"/>
    <w:rsid w:val="00D35F3C"/>
    <w:rsid w:val="00D45071"/>
    <w:rsid w:val="00D462F0"/>
    <w:rsid w:val="00D50AD8"/>
    <w:rsid w:val="00D519EA"/>
    <w:rsid w:val="00D52556"/>
    <w:rsid w:val="00D5281E"/>
    <w:rsid w:val="00D53089"/>
    <w:rsid w:val="00D60CB8"/>
    <w:rsid w:val="00D619CA"/>
    <w:rsid w:val="00D62581"/>
    <w:rsid w:val="00D63C3F"/>
    <w:rsid w:val="00D64BB6"/>
    <w:rsid w:val="00D702B4"/>
    <w:rsid w:val="00D73A75"/>
    <w:rsid w:val="00D75022"/>
    <w:rsid w:val="00D766AA"/>
    <w:rsid w:val="00D77864"/>
    <w:rsid w:val="00D8003C"/>
    <w:rsid w:val="00D83397"/>
    <w:rsid w:val="00D86166"/>
    <w:rsid w:val="00D86181"/>
    <w:rsid w:val="00D86AFC"/>
    <w:rsid w:val="00D8740C"/>
    <w:rsid w:val="00D877D4"/>
    <w:rsid w:val="00D90EAA"/>
    <w:rsid w:val="00D93C98"/>
    <w:rsid w:val="00D95323"/>
    <w:rsid w:val="00D974A4"/>
    <w:rsid w:val="00D97CE4"/>
    <w:rsid w:val="00DA1238"/>
    <w:rsid w:val="00DA2F2E"/>
    <w:rsid w:val="00DA3576"/>
    <w:rsid w:val="00DA4804"/>
    <w:rsid w:val="00DA651B"/>
    <w:rsid w:val="00DA7BB4"/>
    <w:rsid w:val="00DB0B2D"/>
    <w:rsid w:val="00DB1507"/>
    <w:rsid w:val="00DB3963"/>
    <w:rsid w:val="00DB44B0"/>
    <w:rsid w:val="00DB5EB5"/>
    <w:rsid w:val="00DB63F3"/>
    <w:rsid w:val="00DC00E8"/>
    <w:rsid w:val="00DC3DE6"/>
    <w:rsid w:val="00DC4968"/>
    <w:rsid w:val="00DC6194"/>
    <w:rsid w:val="00DC7BC7"/>
    <w:rsid w:val="00DD1729"/>
    <w:rsid w:val="00DD243B"/>
    <w:rsid w:val="00DD39CA"/>
    <w:rsid w:val="00DD3C87"/>
    <w:rsid w:val="00DD4514"/>
    <w:rsid w:val="00DD46D4"/>
    <w:rsid w:val="00DD5E7A"/>
    <w:rsid w:val="00DD5E91"/>
    <w:rsid w:val="00DD6F83"/>
    <w:rsid w:val="00DD776E"/>
    <w:rsid w:val="00DE0906"/>
    <w:rsid w:val="00DE1019"/>
    <w:rsid w:val="00DE24B3"/>
    <w:rsid w:val="00DE2954"/>
    <w:rsid w:val="00DE6EE4"/>
    <w:rsid w:val="00DE7BCA"/>
    <w:rsid w:val="00DF1602"/>
    <w:rsid w:val="00DF1797"/>
    <w:rsid w:val="00DF1D9F"/>
    <w:rsid w:val="00DF22A0"/>
    <w:rsid w:val="00DF314C"/>
    <w:rsid w:val="00DF3161"/>
    <w:rsid w:val="00DF5554"/>
    <w:rsid w:val="00DF5993"/>
    <w:rsid w:val="00DF5F8F"/>
    <w:rsid w:val="00DF724C"/>
    <w:rsid w:val="00DF7262"/>
    <w:rsid w:val="00E0061E"/>
    <w:rsid w:val="00E00846"/>
    <w:rsid w:val="00E03640"/>
    <w:rsid w:val="00E05B44"/>
    <w:rsid w:val="00E109CA"/>
    <w:rsid w:val="00E12B34"/>
    <w:rsid w:val="00E1300B"/>
    <w:rsid w:val="00E13454"/>
    <w:rsid w:val="00E14BA7"/>
    <w:rsid w:val="00E16503"/>
    <w:rsid w:val="00E16B70"/>
    <w:rsid w:val="00E16DDA"/>
    <w:rsid w:val="00E21B57"/>
    <w:rsid w:val="00E26B6A"/>
    <w:rsid w:val="00E27522"/>
    <w:rsid w:val="00E3073A"/>
    <w:rsid w:val="00E3132E"/>
    <w:rsid w:val="00E31FCC"/>
    <w:rsid w:val="00E32E59"/>
    <w:rsid w:val="00E353BA"/>
    <w:rsid w:val="00E362ED"/>
    <w:rsid w:val="00E372B9"/>
    <w:rsid w:val="00E375D5"/>
    <w:rsid w:val="00E406C3"/>
    <w:rsid w:val="00E40944"/>
    <w:rsid w:val="00E430C5"/>
    <w:rsid w:val="00E435CC"/>
    <w:rsid w:val="00E47A68"/>
    <w:rsid w:val="00E53948"/>
    <w:rsid w:val="00E54033"/>
    <w:rsid w:val="00E54F9E"/>
    <w:rsid w:val="00E5522B"/>
    <w:rsid w:val="00E56094"/>
    <w:rsid w:val="00E56F0F"/>
    <w:rsid w:val="00E61432"/>
    <w:rsid w:val="00E626D3"/>
    <w:rsid w:val="00E6733B"/>
    <w:rsid w:val="00E70A92"/>
    <w:rsid w:val="00E7116B"/>
    <w:rsid w:val="00E7265F"/>
    <w:rsid w:val="00E73972"/>
    <w:rsid w:val="00E748D7"/>
    <w:rsid w:val="00E77276"/>
    <w:rsid w:val="00E7740D"/>
    <w:rsid w:val="00E80578"/>
    <w:rsid w:val="00E83133"/>
    <w:rsid w:val="00E842B7"/>
    <w:rsid w:val="00E849F6"/>
    <w:rsid w:val="00E85F43"/>
    <w:rsid w:val="00E932D5"/>
    <w:rsid w:val="00E9349E"/>
    <w:rsid w:val="00E93A8C"/>
    <w:rsid w:val="00E941A4"/>
    <w:rsid w:val="00E9753C"/>
    <w:rsid w:val="00EA00B2"/>
    <w:rsid w:val="00EA0CA7"/>
    <w:rsid w:val="00EB0CB0"/>
    <w:rsid w:val="00EB44B2"/>
    <w:rsid w:val="00EB5000"/>
    <w:rsid w:val="00EB6925"/>
    <w:rsid w:val="00EB7787"/>
    <w:rsid w:val="00EB786D"/>
    <w:rsid w:val="00EB7FCE"/>
    <w:rsid w:val="00EC0FE9"/>
    <w:rsid w:val="00EC31E2"/>
    <w:rsid w:val="00EC3B07"/>
    <w:rsid w:val="00EC43BD"/>
    <w:rsid w:val="00EC4435"/>
    <w:rsid w:val="00EC4E74"/>
    <w:rsid w:val="00EC52D0"/>
    <w:rsid w:val="00EC6830"/>
    <w:rsid w:val="00ED0AA5"/>
    <w:rsid w:val="00ED1C45"/>
    <w:rsid w:val="00ED2776"/>
    <w:rsid w:val="00ED3952"/>
    <w:rsid w:val="00ED672E"/>
    <w:rsid w:val="00ED7900"/>
    <w:rsid w:val="00EE0528"/>
    <w:rsid w:val="00EE0AC9"/>
    <w:rsid w:val="00EE25B5"/>
    <w:rsid w:val="00EE3738"/>
    <w:rsid w:val="00EE438B"/>
    <w:rsid w:val="00EE4A91"/>
    <w:rsid w:val="00EE5ADD"/>
    <w:rsid w:val="00EE5E22"/>
    <w:rsid w:val="00EE6800"/>
    <w:rsid w:val="00EE7914"/>
    <w:rsid w:val="00EF06D5"/>
    <w:rsid w:val="00EF077A"/>
    <w:rsid w:val="00EF21DE"/>
    <w:rsid w:val="00EF2A93"/>
    <w:rsid w:val="00EF5F3F"/>
    <w:rsid w:val="00EF738F"/>
    <w:rsid w:val="00EF79B6"/>
    <w:rsid w:val="00F02C10"/>
    <w:rsid w:val="00F03127"/>
    <w:rsid w:val="00F0348F"/>
    <w:rsid w:val="00F0391C"/>
    <w:rsid w:val="00F03B86"/>
    <w:rsid w:val="00F0609D"/>
    <w:rsid w:val="00F068AF"/>
    <w:rsid w:val="00F06E53"/>
    <w:rsid w:val="00F0734D"/>
    <w:rsid w:val="00F078A4"/>
    <w:rsid w:val="00F078F8"/>
    <w:rsid w:val="00F07BD9"/>
    <w:rsid w:val="00F11B0D"/>
    <w:rsid w:val="00F11F5B"/>
    <w:rsid w:val="00F120CC"/>
    <w:rsid w:val="00F1326B"/>
    <w:rsid w:val="00F16DEB"/>
    <w:rsid w:val="00F20FAF"/>
    <w:rsid w:val="00F220B4"/>
    <w:rsid w:val="00F220C3"/>
    <w:rsid w:val="00F224E2"/>
    <w:rsid w:val="00F26F60"/>
    <w:rsid w:val="00F336DA"/>
    <w:rsid w:val="00F350A6"/>
    <w:rsid w:val="00F35ABB"/>
    <w:rsid w:val="00F35DAC"/>
    <w:rsid w:val="00F40D33"/>
    <w:rsid w:val="00F40D58"/>
    <w:rsid w:val="00F436A2"/>
    <w:rsid w:val="00F43E04"/>
    <w:rsid w:val="00F47B8D"/>
    <w:rsid w:val="00F50581"/>
    <w:rsid w:val="00F512DA"/>
    <w:rsid w:val="00F54EDD"/>
    <w:rsid w:val="00F5505E"/>
    <w:rsid w:val="00F55BE0"/>
    <w:rsid w:val="00F56ADC"/>
    <w:rsid w:val="00F602B4"/>
    <w:rsid w:val="00F62585"/>
    <w:rsid w:val="00F631FA"/>
    <w:rsid w:val="00F63286"/>
    <w:rsid w:val="00F649AA"/>
    <w:rsid w:val="00F64A05"/>
    <w:rsid w:val="00F65D23"/>
    <w:rsid w:val="00F673A3"/>
    <w:rsid w:val="00F70915"/>
    <w:rsid w:val="00F720DF"/>
    <w:rsid w:val="00F77D8E"/>
    <w:rsid w:val="00F8299A"/>
    <w:rsid w:val="00F82A87"/>
    <w:rsid w:val="00F83C37"/>
    <w:rsid w:val="00F84326"/>
    <w:rsid w:val="00F84445"/>
    <w:rsid w:val="00F85A6D"/>
    <w:rsid w:val="00F85EF3"/>
    <w:rsid w:val="00F87291"/>
    <w:rsid w:val="00F905A7"/>
    <w:rsid w:val="00F9152B"/>
    <w:rsid w:val="00F92C89"/>
    <w:rsid w:val="00F931CA"/>
    <w:rsid w:val="00F946E7"/>
    <w:rsid w:val="00F94B9F"/>
    <w:rsid w:val="00F9553A"/>
    <w:rsid w:val="00F9662D"/>
    <w:rsid w:val="00F97CA1"/>
    <w:rsid w:val="00FA1FBB"/>
    <w:rsid w:val="00FA369E"/>
    <w:rsid w:val="00FA5CCF"/>
    <w:rsid w:val="00FA70D6"/>
    <w:rsid w:val="00FA76DF"/>
    <w:rsid w:val="00FB38D9"/>
    <w:rsid w:val="00FB3C0A"/>
    <w:rsid w:val="00FB53A9"/>
    <w:rsid w:val="00FB5A8E"/>
    <w:rsid w:val="00FB5DE8"/>
    <w:rsid w:val="00FB669D"/>
    <w:rsid w:val="00FB72CC"/>
    <w:rsid w:val="00FB782D"/>
    <w:rsid w:val="00FC18DF"/>
    <w:rsid w:val="00FC2578"/>
    <w:rsid w:val="00FC2B1A"/>
    <w:rsid w:val="00FC2B70"/>
    <w:rsid w:val="00FC32AE"/>
    <w:rsid w:val="00FC5222"/>
    <w:rsid w:val="00FC6250"/>
    <w:rsid w:val="00FD34FB"/>
    <w:rsid w:val="00FD35E9"/>
    <w:rsid w:val="00FD5AD7"/>
    <w:rsid w:val="00FE18F5"/>
    <w:rsid w:val="00FE1CCA"/>
    <w:rsid w:val="00FE7F8A"/>
    <w:rsid w:val="00FF109B"/>
    <w:rsid w:val="00FF2BF8"/>
    <w:rsid w:val="00FF4F93"/>
    <w:rsid w:val="00FF7131"/>
    <w:rsid w:val="00FF7F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link w:val="Heading3Char"/>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6"/>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link w:val="BodyText"/>
    <w:uiPriority w:val="99"/>
    <w:rsid w:val="00EC31E2"/>
    <w:rPr>
      <w:lang w:val="en-GB" w:eastAsia="en-GB" w:bidi="ar-SA"/>
    </w:rPr>
  </w:style>
  <w:style w:type="paragraph" w:customStyle="1" w:styleId="NarrowLine">
    <w:name w:val="Narrow Line"/>
    <w:next w:val="BodyText"/>
    <w:rsid w:val="00285E68"/>
    <w:rPr>
      <w:noProof/>
      <w:sz w:val="12"/>
      <w:lang w:val="en-US" w:eastAsia="en-US"/>
    </w:rPr>
  </w:style>
  <w:style w:type="paragraph" w:customStyle="1" w:styleId="bullet-list-1">
    <w:name w:val="bullet-list-1"/>
    <w:basedOn w:val="Normal"/>
    <w:rsid w:val="007C22AC"/>
    <w:pPr>
      <w:spacing w:before="100"/>
      <w:ind w:left="346" w:right="130" w:hanging="202"/>
      <w:jc w:val="both"/>
    </w:pPr>
    <w:rPr>
      <w:rFonts w:ascii="Verdana" w:hAnsi="Verdana" w:cs="Arial"/>
      <w:sz w:val="16"/>
      <w:szCs w:val="16"/>
    </w:rPr>
  </w:style>
  <w:style w:type="paragraph" w:styleId="EndnoteText">
    <w:name w:val="endnote text"/>
    <w:basedOn w:val="Normal"/>
    <w:link w:val="EndnoteTextChar"/>
    <w:rsid w:val="00730C09"/>
  </w:style>
  <w:style w:type="character" w:customStyle="1" w:styleId="EndnoteTextChar">
    <w:name w:val="Endnote Text Char"/>
    <w:basedOn w:val="DefaultParagraphFont"/>
    <w:link w:val="EndnoteText"/>
    <w:rsid w:val="00730C09"/>
  </w:style>
  <w:style w:type="character" w:styleId="EndnoteReference">
    <w:name w:val="endnote reference"/>
    <w:rsid w:val="00730C09"/>
    <w:rPr>
      <w:vertAlign w:val="superscript"/>
    </w:rPr>
  </w:style>
  <w:style w:type="character" w:customStyle="1" w:styleId="Heading3Char">
    <w:name w:val="Heading 3 Char"/>
    <w:link w:val="Heading3"/>
    <w:rsid w:val="004B54F7"/>
    <w:rPr>
      <w:rFonts w:ascii="Arial" w:hAnsi="Arial"/>
      <w:b/>
      <w:kern w:val="28"/>
      <w:sz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234983">
      <w:bodyDiv w:val="1"/>
      <w:marLeft w:val="0"/>
      <w:marRight w:val="0"/>
      <w:marTop w:val="0"/>
      <w:marBottom w:val="0"/>
      <w:divBdr>
        <w:top w:val="none" w:sz="0" w:space="0" w:color="auto"/>
        <w:left w:val="none" w:sz="0" w:space="0" w:color="auto"/>
        <w:bottom w:val="none" w:sz="0" w:space="0" w:color="auto"/>
        <w:right w:val="none" w:sz="0" w:space="0" w:color="auto"/>
      </w:divBdr>
    </w:div>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957958">
      <w:bodyDiv w:val="1"/>
      <w:marLeft w:val="0"/>
      <w:marRight w:val="0"/>
      <w:marTop w:val="0"/>
      <w:marBottom w:val="0"/>
      <w:divBdr>
        <w:top w:val="none" w:sz="0" w:space="0" w:color="auto"/>
        <w:left w:val="none" w:sz="0" w:space="0" w:color="auto"/>
        <w:bottom w:val="none" w:sz="0" w:space="0" w:color="auto"/>
        <w:right w:val="none" w:sz="0" w:space="0" w:color="auto"/>
      </w:divBdr>
    </w:div>
    <w:div w:id="139142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hyperlink" Target="https://www.gov.uk/government/uploads/system/uploads/attachment_data/file/293888/TIIN_9022_VAT_prompt_payment_discounts_.pd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F1DAA-6C94-43E5-A1DA-7F3A63F5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2002.dot</Template>
  <TotalTime>144</TotalTime>
  <Pages>12</Pages>
  <Words>2705</Words>
  <Characters>15419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Global 3000 Service Pack Note</vt:lpstr>
    </vt:vector>
  </TitlesOfParts>
  <Manager>AJU</Manager>
  <Company>TIS Software Ltd</Company>
  <LinksUpToDate>false</LinksUpToDate>
  <CharactersWithSpaces>18088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Prompt Payment (Settlement) Discount - VAT Calculation</dc:subject>
  <dc:creator>DCP</dc:creator>
  <cp:keywords>1.0</cp:keywords>
  <dc:description>This service pack updates Debtors Ledger, Creditors Ledger and SOP to correctly account for VAT on transactions where prompt payment discount is offered. </dc:description>
  <cp:lastModifiedBy>Robinson, Rick</cp:lastModifiedBy>
  <cp:revision>22</cp:revision>
  <cp:lastPrinted>2002-03-05T14:24:00Z</cp:lastPrinted>
  <dcterms:created xsi:type="dcterms:W3CDTF">2014-11-11T11:03:00Z</dcterms:created>
  <dcterms:modified xsi:type="dcterms:W3CDTF">2015-01-14T13:53:00Z</dcterms:modified>
</cp:coreProperties>
</file>