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42B7" w:rsidRPr="008E645B" w:rsidRDefault="009125E8" w:rsidP="004F3920">
      <w:pPr>
        <w:pStyle w:val="Title"/>
        <w:tabs>
          <w:tab w:val="left" w:pos="1988"/>
        </w:tabs>
      </w:pPr>
      <w:r w:rsidRPr="008E645B">
        <w:drawing>
          <wp:anchor distT="0" distB="0" distL="114300" distR="114300" simplePos="0" relativeHeight="251657728" behindDoc="0" locked="0" layoutInCell="0" allowOverlap="1">
            <wp:simplePos x="0" y="0"/>
            <wp:positionH relativeFrom="column">
              <wp:posOffset>5422900</wp:posOffset>
            </wp:positionH>
            <wp:positionV relativeFrom="paragraph">
              <wp:posOffset>-191135</wp:posOffset>
            </wp:positionV>
            <wp:extent cx="942975" cy="1104900"/>
            <wp:effectExtent l="0" t="0" r="9525" b="0"/>
            <wp:wrapTopAndBottom/>
            <wp:docPr id="2" name="Picture 2" descr="image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00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842B7" w:rsidRPr="008E645B" w:rsidRDefault="00E842B7" w:rsidP="004F3920">
      <w:pPr>
        <w:pStyle w:val="Title"/>
        <w:tabs>
          <w:tab w:val="left" w:pos="1988"/>
        </w:tabs>
      </w:pPr>
    </w:p>
    <w:p w:rsidR="00E842B7" w:rsidRPr="008E645B" w:rsidRDefault="00E842B7" w:rsidP="004F3920">
      <w:pPr>
        <w:tabs>
          <w:tab w:val="left" w:pos="1988"/>
        </w:tabs>
      </w:pPr>
    </w:p>
    <w:p w:rsidR="00E842B7" w:rsidRPr="008E645B" w:rsidRDefault="00E842B7" w:rsidP="004F3920">
      <w:pPr>
        <w:tabs>
          <w:tab w:val="left" w:pos="1988"/>
        </w:tabs>
      </w:pPr>
    </w:p>
    <w:p w:rsidR="00E842B7" w:rsidRPr="008E645B" w:rsidRDefault="00E842B7" w:rsidP="004F3920">
      <w:pPr>
        <w:tabs>
          <w:tab w:val="left" w:pos="1988"/>
        </w:tabs>
      </w:pPr>
    </w:p>
    <w:p w:rsidR="00E842B7" w:rsidRPr="008E645B" w:rsidRDefault="00E842B7" w:rsidP="004F3920">
      <w:pPr>
        <w:pStyle w:val="Title"/>
        <w:tabs>
          <w:tab w:val="left" w:pos="1988"/>
        </w:tabs>
      </w:pPr>
      <w:r w:rsidRPr="008E645B">
        <w:t>Global 3000</w:t>
      </w:r>
    </w:p>
    <w:p w:rsidR="00E842B7" w:rsidRPr="008E645B" w:rsidRDefault="0086373A" w:rsidP="004F3920">
      <w:pPr>
        <w:pStyle w:val="Title"/>
        <w:tabs>
          <w:tab w:val="left" w:pos="1988"/>
        </w:tabs>
      </w:pPr>
      <w:r>
        <w:t>Service Pack Not</w:t>
      </w:r>
      <w:r w:rsidR="00E842B7" w:rsidRPr="008E645B">
        <w:t>e</w:t>
      </w:r>
    </w:p>
    <w:p w:rsidR="00E842B7" w:rsidRPr="008E645B" w:rsidRDefault="00E842B7" w:rsidP="004F3920">
      <w:pPr>
        <w:tabs>
          <w:tab w:val="left" w:pos="1988"/>
        </w:tabs>
      </w:pPr>
    </w:p>
    <w:p w:rsidR="00E842B7" w:rsidRPr="008E645B" w:rsidRDefault="00E842B7" w:rsidP="004F3920">
      <w:pPr>
        <w:tabs>
          <w:tab w:val="left" w:pos="1988"/>
        </w:tabs>
      </w:pPr>
    </w:p>
    <w:p w:rsidR="00E842B7" w:rsidRPr="008E645B" w:rsidRDefault="003153BF" w:rsidP="004F3920">
      <w:pPr>
        <w:pStyle w:val="Title"/>
        <w:tabs>
          <w:tab w:val="left" w:pos="1988"/>
        </w:tabs>
      </w:pPr>
      <w:fldSimple w:instr=" SUBJECT  \* MERGEFORMAT ">
        <w:r w:rsidR="0086373A">
          <w:t>Debtors and Creditors Ledger - Transaction Revaluation</w:t>
        </w:r>
      </w:fldSimple>
    </w:p>
    <w:p w:rsidR="00E842B7" w:rsidRPr="008E645B" w:rsidRDefault="00E842B7" w:rsidP="004F3920">
      <w:pPr>
        <w:tabs>
          <w:tab w:val="left" w:pos="1988"/>
        </w:tabs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2B77AA" w:rsidRPr="008E645B" w:rsidRDefault="002B77AA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DF22A0" w:rsidRPr="008E645B" w:rsidRDefault="00DF22A0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DF22A0" w:rsidRPr="008E645B" w:rsidRDefault="00DF22A0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9D395B" w:rsidRPr="008E645B" w:rsidRDefault="009D395B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4420D7" w:rsidP="004F3920">
      <w:pPr>
        <w:tabs>
          <w:tab w:val="left" w:pos="1988"/>
        </w:tabs>
        <w:rPr>
          <w:rFonts w:ascii="Arial" w:hAnsi="Arial"/>
          <w:b/>
          <w:sz w:val="22"/>
        </w:rPr>
      </w:pPr>
      <w:r w:rsidRPr="008E645B">
        <w:rPr>
          <w:rFonts w:ascii="Arial" w:hAnsi="Arial"/>
          <w:b/>
          <w:sz w:val="22"/>
        </w:rPr>
        <w:br w:type="page"/>
      </w:r>
      <w:r w:rsidR="00E842B7" w:rsidRPr="008E645B">
        <w:rPr>
          <w:rFonts w:ascii="Arial" w:hAnsi="Arial"/>
          <w:b/>
          <w:sz w:val="22"/>
        </w:rPr>
        <w:lastRenderedPageBreak/>
        <w:t>INTRODUCTION</w:t>
      </w:r>
    </w:p>
    <w:p w:rsidR="00E842B7" w:rsidRPr="008E645B" w:rsidRDefault="00E842B7" w:rsidP="004F3920">
      <w:pPr>
        <w:tabs>
          <w:tab w:val="left" w:pos="1988"/>
          <w:tab w:val="left" w:pos="3600"/>
        </w:tabs>
        <w:jc w:val="both"/>
        <w:rPr>
          <w:rFonts w:ascii="CG Omega" w:hAnsi="CG Omega"/>
          <w:sz w:val="24"/>
        </w:rPr>
      </w:pPr>
      <w:r w:rsidRPr="008E645B">
        <w:rPr>
          <w:rFonts w:ascii="CG Omega" w:hAnsi="CG Omega"/>
          <w:sz w:val="24"/>
        </w:rPr>
        <w:fldChar w:fldCharType="begin"/>
      </w:r>
      <w:r w:rsidRPr="008E645B">
        <w:rPr>
          <w:rFonts w:ascii="CG Omega" w:hAnsi="CG Omega"/>
          <w:sz w:val="24"/>
        </w:rPr>
        <w:instrText xml:space="preserve"> COMMENTS  \* MERGEFORMAT </w:instrText>
      </w:r>
      <w:r w:rsidRPr="008E645B">
        <w:rPr>
          <w:rFonts w:ascii="CG Omega" w:hAnsi="CG Omega"/>
          <w:sz w:val="24"/>
        </w:rPr>
        <w:fldChar w:fldCharType="separate"/>
      </w:r>
      <w:r w:rsidR="0086373A">
        <w:rPr>
          <w:rFonts w:ascii="CG Omega" w:hAnsi="CG Omega"/>
          <w:sz w:val="24"/>
        </w:rPr>
        <w:t>This service pack provides the ability to revalue foreign currency transactions.</w:t>
      </w:r>
      <w:r w:rsidRPr="008E645B">
        <w:rPr>
          <w:rFonts w:ascii="CG Omega" w:hAnsi="CG Omega"/>
          <w:sz w:val="24"/>
        </w:rPr>
        <w:fldChar w:fldCharType="end"/>
      </w:r>
    </w:p>
    <w:p w:rsidR="00E842B7" w:rsidRPr="008E645B" w:rsidRDefault="00E842B7" w:rsidP="004F3920">
      <w:pPr>
        <w:tabs>
          <w:tab w:val="left" w:pos="1988"/>
        </w:tabs>
        <w:jc w:val="both"/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0449EB" w:rsidRPr="008E645B" w:rsidTr="001F29BB">
        <w:trPr>
          <w:trHeight w:val="240"/>
        </w:trPr>
        <w:tc>
          <w:tcPr>
            <w:tcW w:w="10173" w:type="dxa"/>
          </w:tcPr>
          <w:p w:rsidR="00492A7A" w:rsidRDefault="006D79DA" w:rsidP="006D79DA">
            <w:pPr>
              <w:pStyle w:val="BodyText"/>
              <w:tabs>
                <w:tab w:val="left" w:pos="1988"/>
              </w:tabs>
              <w:rPr>
                <w:rFonts w:ascii="CG Omega" w:hAnsi="CG Omega"/>
                <w:sz w:val="24"/>
                <w:szCs w:val="24"/>
              </w:rPr>
            </w:pPr>
            <w:r>
              <w:rPr>
                <w:rFonts w:ascii="CG Omega" w:hAnsi="CG Omega"/>
                <w:sz w:val="24"/>
                <w:szCs w:val="24"/>
              </w:rPr>
              <w:t xml:space="preserve">Section 30 (Foreign Currency Translation) within document FRS 102 (The Financial Reporting Standard applicable in the UK and Republic of Ireland) states the following. </w:t>
            </w:r>
          </w:p>
          <w:p w:rsidR="006D79DA" w:rsidRPr="006D79DA" w:rsidRDefault="006D79DA" w:rsidP="006D79DA">
            <w:pPr>
              <w:pStyle w:val="BodyText"/>
              <w:tabs>
                <w:tab w:val="left" w:pos="1988"/>
              </w:tabs>
              <w:ind w:left="360"/>
              <w:rPr>
                <w:rFonts w:ascii="CG Omega" w:hAnsi="CG Omega"/>
                <w:sz w:val="24"/>
                <w:szCs w:val="24"/>
              </w:rPr>
            </w:pPr>
            <w:r w:rsidRPr="006D79DA">
              <w:rPr>
                <w:rFonts w:ascii="CG Omega" w:hAnsi="CG Omega"/>
                <w:sz w:val="24"/>
                <w:szCs w:val="24"/>
              </w:rPr>
              <w:t>30.9 At the end of each reporting period, an entity shall:</w:t>
            </w:r>
          </w:p>
          <w:p w:rsidR="006D79DA" w:rsidRDefault="006D79DA" w:rsidP="006D79DA">
            <w:pPr>
              <w:pStyle w:val="BodyText"/>
              <w:numPr>
                <w:ilvl w:val="0"/>
                <w:numId w:val="49"/>
              </w:numPr>
              <w:tabs>
                <w:tab w:val="left" w:pos="1988"/>
              </w:tabs>
              <w:ind w:left="1080"/>
              <w:rPr>
                <w:rFonts w:ascii="CG Omega" w:hAnsi="CG Omega"/>
                <w:sz w:val="24"/>
                <w:szCs w:val="24"/>
              </w:rPr>
            </w:pPr>
            <w:r w:rsidRPr="006D79DA">
              <w:rPr>
                <w:rFonts w:ascii="CG Omega" w:hAnsi="CG Omega"/>
                <w:sz w:val="24"/>
                <w:szCs w:val="24"/>
              </w:rPr>
              <w:t>translate foreign currency monetary items using the closing rate;</w:t>
            </w:r>
          </w:p>
          <w:p w:rsidR="006D79DA" w:rsidRDefault="006D79DA" w:rsidP="006D79DA">
            <w:pPr>
              <w:pStyle w:val="BodyText"/>
              <w:numPr>
                <w:ilvl w:val="0"/>
                <w:numId w:val="49"/>
              </w:numPr>
              <w:tabs>
                <w:tab w:val="left" w:pos="1988"/>
              </w:tabs>
              <w:ind w:left="1080"/>
              <w:rPr>
                <w:rFonts w:ascii="CG Omega" w:hAnsi="CG Omega"/>
                <w:sz w:val="24"/>
                <w:szCs w:val="24"/>
              </w:rPr>
            </w:pPr>
            <w:r w:rsidRPr="006D79DA">
              <w:rPr>
                <w:rFonts w:ascii="CG Omega" w:hAnsi="CG Omega"/>
                <w:sz w:val="24"/>
                <w:szCs w:val="24"/>
              </w:rPr>
              <w:t>translate non-monetary items that are measured in terms of historical cost in a</w:t>
            </w:r>
            <w:r>
              <w:rPr>
                <w:rFonts w:ascii="CG Omega" w:hAnsi="CG Omega"/>
                <w:sz w:val="24"/>
                <w:szCs w:val="24"/>
              </w:rPr>
              <w:t xml:space="preserve"> </w:t>
            </w:r>
            <w:r w:rsidRPr="006D79DA">
              <w:rPr>
                <w:rFonts w:ascii="CG Omega" w:hAnsi="CG Omega"/>
                <w:sz w:val="24"/>
                <w:szCs w:val="24"/>
              </w:rPr>
              <w:t>foreign currency using the exchange rate at the date of the transaction; and</w:t>
            </w:r>
          </w:p>
          <w:p w:rsidR="006D79DA" w:rsidRDefault="006D79DA" w:rsidP="006D79DA">
            <w:pPr>
              <w:pStyle w:val="BodyText"/>
              <w:numPr>
                <w:ilvl w:val="0"/>
                <w:numId w:val="49"/>
              </w:numPr>
              <w:tabs>
                <w:tab w:val="left" w:pos="1988"/>
              </w:tabs>
              <w:ind w:left="1080"/>
              <w:rPr>
                <w:rFonts w:ascii="CG Omega" w:hAnsi="CG Omega"/>
                <w:sz w:val="24"/>
                <w:szCs w:val="24"/>
              </w:rPr>
            </w:pPr>
            <w:proofErr w:type="gramStart"/>
            <w:r w:rsidRPr="006D79DA">
              <w:rPr>
                <w:rFonts w:ascii="CG Omega" w:hAnsi="CG Omega"/>
                <w:sz w:val="24"/>
                <w:szCs w:val="24"/>
              </w:rPr>
              <w:t>translate</w:t>
            </w:r>
            <w:proofErr w:type="gramEnd"/>
            <w:r w:rsidRPr="006D79DA">
              <w:rPr>
                <w:rFonts w:ascii="CG Omega" w:hAnsi="CG Omega"/>
                <w:sz w:val="24"/>
                <w:szCs w:val="24"/>
              </w:rPr>
              <w:t xml:space="preserve"> non-monetary items that are measured at fair value in a foreign</w:t>
            </w:r>
            <w:r>
              <w:rPr>
                <w:rFonts w:ascii="CG Omega" w:hAnsi="CG Omega"/>
                <w:sz w:val="24"/>
                <w:szCs w:val="24"/>
              </w:rPr>
              <w:t xml:space="preserve"> </w:t>
            </w:r>
            <w:r w:rsidRPr="006D79DA">
              <w:rPr>
                <w:rFonts w:ascii="CG Omega" w:hAnsi="CG Omega"/>
                <w:sz w:val="24"/>
                <w:szCs w:val="24"/>
              </w:rPr>
              <w:t>currency using the exchange rates at the date when the fair value was</w:t>
            </w:r>
            <w:r>
              <w:rPr>
                <w:rFonts w:ascii="CG Omega" w:hAnsi="CG Omega"/>
                <w:sz w:val="24"/>
                <w:szCs w:val="24"/>
              </w:rPr>
              <w:t xml:space="preserve"> </w:t>
            </w:r>
            <w:r w:rsidRPr="006D79DA">
              <w:rPr>
                <w:rFonts w:ascii="CG Omega" w:hAnsi="CG Omega"/>
                <w:sz w:val="24"/>
                <w:szCs w:val="24"/>
              </w:rPr>
              <w:t>determined.</w:t>
            </w:r>
          </w:p>
          <w:p w:rsidR="00B53DC2" w:rsidRPr="006D79DA" w:rsidRDefault="00B53DC2" w:rsidP="006D79DA">
            <w:pPr>
              <w:pStyle w:val="BodyText"/>
              <w:tabs>
                <w:tab w:val="left" w:pos="1988"/>
              </w:tabs>
              <w:rPr>
                <w:rFonts w:ascii="CG Omega" w:hAnsi="CG Omega"/>
                <w:sz w:val="24"/>
                <w:szCs w:val="24"/>
              </w:rPr>
            </w:pPr>
            <w:r>
              <w:rPr>
                <w:rFonts w:ascii="CG Omega" w:hAnsi="CG Omega"/>
                <w:sz w:val="24"/>
                <w:szCs w:val="24"/>
              </w:rPr>
              <w:t>This indicates a requirement to revalue outstanding foreign currency transactions (in Debtors Ledger and Creditors Ledger) when each period is closed.</w:t>
            </w:r>
          </w:p>
        </w:tc>
      </w:tr>
      <w:tr w:rsidR="00855980" w:rsidRPr="008E645B" w:rsidTr="001F29BB">
        <w:trPr>
          <w:trHeight w:val="240"/>
        </w:trPr>
        <w:tc>
          <w:tcPr>
            <w:tcW w:w="10173" w:type="dxa"/>
          </w:tcPr>
          <w:p w:rsidR="00855980" w:rsidRPr="00855980" w:rsidRDefault="00B53DC2" w:rsidP="00855980">
            <w:pPr>
              <w:pStyle w:val="BodyText"/>
              <w:tabs>
                <w:tab w:val="left" w:pos="1988"/>
              </w:tabs>
              <w:rPr>
                <w:rFonts w:ascii="CG Omega" w:hAnsi="CG Omega"/>
                <w:sz w:val="24"/>
                <w:szCs w:val="24"/>
              </w:rPr>
            </w:pPr>
            <w:r>
              <w:rPr>
                <w:rFonts w:ascii="CG Omega" w:hAnsi="CG Omega"/>
                <w:sz w:val="24"/>
                <w:szCs w:val="24"/>
              </w:rPr>
              <w:t>Note: The changes described below apply to both Debtors Ledger and Creditors Ledger.</w:t>
            </w:r>
          </w:p>
        </w:tc>
      </w:tr>
      <w:tr w:rsidR="00E115A6" w:rsidRPr="008E645B" w:rsidTr="001F29BB">
        <w:trPr>
          <w:trHeight w:val="240"/>
        </w:trPr>
        <w:tc>
          <w:tcPr>
            <w:tcW w:w="10173" w:type="dxa"/>
          </w:tcPr>
          <w:p w:rsidR="00EA29F8" w:rsidRDefault="00B53DC2" w:rsidP="00025064">
            <w:pPr>
              <w:pStyle w:val="BodyText"/>
              <w:tabs>
                <w:tab w:val="left" w:pos="1988"/>
              </w:tabs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 xml:space="preserve">The following changes </w:t>
            </w:r>
            <w:r w:rsidR="00CD3D5B">
              <w:rPr>
                <w:rFonts w:ascii="CG Omega" w:hAnsi="CG Omega"/>
                <w:sz w:val="24"/>
              </w:rPr>
              <w:t>have been</w:t>
            </w:r>
            <w:r>
              <w:rPr>
                <w:rFonts w:ascii="CG Omega" w:hAnsi="CG Omega"/>
                <w:sz w:val="24"/>
              </w:rPr>
              <w:t xml:space="preserve"> made:</w:t>
            </w:r>
          </w:p>
          <w:p w:rsidR="00B0495F" w:rsidRDefault="00B53DC2" w:rsidP="00B0495F">
            <w:pPr>
              <w:pStyle w:val="BodyText"/>
              <w:numPr>
                <w:ilvl w:val="0"/>
                <w:numId w:val="50"/>
              </w:numPr>
              <w:tabs>
                <w:tab w:val="left" w:pos="1988"/>
              </w:tabs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 xml:space="preserve">A new option labelled ‘Transaction Revaluation’ </w:t>
            </w:r>
            <w:r w:rsidR="00CD3D5B">
              <w:rPr>
                <w:rFonts w:ascii="CG Omega" w:hAnsi="CG Omega"/>
                <w:sz w:val="24"/>
              </w:rPr>
              <w:t>has been</w:t>
            </w:r>
            <w:r>
              <w:rPr>
                <w:rFonts w:ascii="CG Omega" w:hAnsi="CG Omega"/>
                <w:sz w:val="24"/>
              </w:rPr>
              <w:t xml:space="preserve"> added to the ‘End of Period Processing’ menu.</w:t>
            </w:r>
            <w:r w:rsidR="0043345D">
              <w:rPr>
                <w:rFonts w:ascii="CG Omega" w:hAnsi="CG Omega"/>
                <w:sz w:val="24"/>
              </w:rPr>
              <w:t xml:space="preserve"> This new function allows the outstanding value (in base currency) of foreign currency transactions to be recalculated using the exchange rates in force on a user specified date. During revaluation</w:t>
            </w:r>
            <w:r w:rsidR="007A75E4">
              <w:rPr>
                <w:rFonts w:ascii="CG Omega" w:hAnsi="CG Omega"/>
                <w:sz w:val="24"/>
              </w:rPr>
              <w:t>,</w:t>
            </w:r>
            <w:r w:rsidR="0043345D">
              <w:rPr>
                <w:rFonts w:ascii="CG Omega" w:hAnsi="CG Omega"/>
                <w:sz w:val="24"/>
              </w:rPr>
              <w:t xml:space="preserve"> </w:t>
            </w:r>
            <w:r w:rsidR="007A75E4">
              <w:rPr>
                <w:rFonts w:ascii="CG Omega" w:hAnsi="CG Omega"/>
                <w:sz w:val="24"/>
              </w:rPr>
              <w:t xml:space="preserve">journals are created to </w:t>
            </w:r>
            <w:r w:rsidR="007E3A95">
              <w:rPr>
                <w:rFonts w:ascii="CG Omega" w:hAnsi="CG Omega"/>
                <w:sz w:val="24"/>
              </w:rPr>
              <w:t>record</w:t>
            </w:r>
            <w:r w:rsidR="007A75E4">
              <w:rPr>
                <w:rFonts w:ascii="CG Omega" w:hAnsi="CG Omega"/>
                <w:sz w:val="24"/>
              </w:rPr>
              <w:t xml:space="preserve"> </w:t>
            </w:r>
            <w:r w:rsidR="007E3A95">
              <w:rPr>
                <w:rFonts w:ascii="CG Omega" w:hAnsi="CG Omega"/>
                <w:sz w:val="24"/>
              </w:rPr>
              <w:t xml:space="preserve">any </w:t>
            </w:r>
            <w:r w:rsidR="007A75E4">
              <w:rPr>
                <w:rFonts w:ascii="CG Omega" w:hAnsi="CG Omega"/>
                <w:sz w:val="24"/>
              </w:rPr>
              <w:t xml:space="preserve">exchange gains </w:t>
            </w:r>
            <w:r w:rsidR="007E3A95">
              <w:rPr>
                <w:rFonts w:ascii="CG Omega" w:hAnsi="CG Omega"/>
                <w:sz w:val="24"/>
              </w:rPr>
              <w:t>or</w:t>
            </w:r>
            <w:r w:rsidR="007A75E4">
              <w:rPr>
                <w:rFonts w:ascii="CG Omega" w:hAnsi="CG Omega"/>
                <w:sz w:val="24"/>
              </w:rPr>
              <w:t xml:space="preserve"> losses and adjust the outstanding value (in base currency) of the revalued transactions.</w:t>
            </w:r>
          </w:p>
          <w:p w:rsidR="00B53DC2" w:rsidRDefault="00B0495F" w:rsidP="00B0495F">
            <w:pPr>
              <w:pStyle w:val="BodyText"/>
              <w:numPr>
                <w:ilvl w:val="0"/>
                <w:numId w:val="50"/>
              </w:numPr>
              <w:tabs>
                <w:tab w:val="left" w:pos="1988"/>
              </w:tabs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>The ‘End of Period’ function will be updated to include a new option that allows ‘Transaction Revaluation’ to be initiated as part of the close period processing.</w:t>
            </w:r>
            <w:r w:rsidR="007A75E4">
              <w:rPr>
                <w:rFonts w:ascii="CG Omega" w:hAnsi="CG Omega"/>
                <w:sz w:val="24"/>
              </w:rPr>
              <w:t xml:space="preserve">  </w:t>
            </w:r>
          </w:p>
        </w:tc>
      </w:tr>
    </w:tbl>
    <w:p w:rsidR="007523D6" w:rsidRDefault="007523D6" w:rsidP="004F3920">
      <w:pPr>
        <w:pStyle w:val="Heading3"/>
        <w:tabs>
          <w:tab w:val="left" w:pos="1988"/>
        </w:tabs>
        <w:ind w:left="0"/>
      </w:pPr>
    </w:p>
    <w:p w:rsidR="007523D6" w:rsidRDefault="007523D6" w:rsidP="007523D6">
      <w:pPr>
        <w:rPr>
          <w:rFonts w:ascii="Arial" w:hAnsi="Arial"/>
          <w:kern w:val="28"/>
          <w:sz w:val="36"/>
        </w:rPr>
      </w:pPr>
      <w:r>
        <w:br w:type="page"/>
      </w: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  <w:r w:rsidRPr="008E645B">
        <w:rPr>
          <w:rFonts w:ascii="Arial" w:hAnsi="Arial"/>
          <w:b/>
          <w:sz w:val="22"/>
        </w:rPr>
        <w:lastRenderedPageBreak/>
        <w:t>DOCUMENTATION CHANGES</w:t>
      </w:r>
    </w:p>
    <w:p w:rsidR="00C41FA4" w:rsidRDefault="00882AA9" w:rsidP="00C41FA4">
      <w:pPr>
        <w:tabs>
          <w:tab w:val="left" w:pos="1988"/>
        </w:tabs>
        <w:rPr>
          <w:rFonts w:ascii="CG Omega" w:hAnsi="CG Omega"/>
          <w:sz w:val="24"/>
        </w:rPr>
      </w:pPr>
      <w:r>
        <w:rPr>
          <w:rFonts w:ascii="CG Omega" w:hAnsi="CG Omega"/>
          <w:sz w:val="24"/>
        </w:rPr>
        <w:t xml:space="preserve"> </w:t>
      </w:r>
    </w:p>
    <w:p w:rsidR="00B56E7E" w:rsidRDefault="00EF29D7" w:rsidP="00B56E7E">
      <w:pPr>
        <w:pStyle w:val="Heading3"/>
        <w:ind w:left="0"/>
      </w:pPr>
      <w:r>
        <w:t>CL Transaction Revaluation</w:t>
      </w:r>
    </w:p>
    <w:p w:rsidR="00B56E7E" w:rsidRDefault="00CD3D5B" w:rsidP="00B56E7E">
      <w:pPr>
        <w:rPr>
          <w:i/>
          <w:iCs/>
        </w:rPr>
      </w:pPr>
      <w:r>
        <w:rPr>
          <w:i/>
          <w:iCs/>
        </w:rPr>
        <w:t xml:space="preserve"> </w:t>
      </w:r>
      <w:r>
        <w:rPr>
          <w:noProof/>
        </w:rPr>
        <w:drawing>
          <wp:inline distT="0" distB="0" distL="0" distR="0" wp14:anchorId="44DDB22D" wp14:editId="2B59C984">
            <wp:extent cx="4838700" cy="33432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6E7E" w:rsidRDefault="00B56E7E" w:rsidP="00B56E7E">
      <w:pPr>
        <w:rPr>
          <w:i/>
          <w:iCs/>
        </w:rPr>
      </w:pP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410"/>
        <w:gridCol w:w="7088"/>
      </w:tblGrid>
      <w:tr w:rsidR="00B56E7E" w:rsidRPr="007E7A37" w:rsidTr="00581AC2">
        <w:trPr>
          <w:cantSplit/>
        </w:trPr>
        <w:tc>
          <w:tcPr>
            <w:tcW w:w="2410" w:type="dxa"/>
          </w:tcPr>
          <w:p w:rsidR="00B56E7E" w:rsidRDefault="00B56E7E" w:rsidP="00581AC2">
            <w:pPr>
              <w:pStyle w:val="Subheading"/>
            </w:pPr>
          </w:p>
        </w:tc>
        <w:tc>
          <w:tcPr>
            <w:tcW w:w="7088" w:type="dxa"/>
          </w:tcPr>
          <w:p w:rsidR="00B56E7E" w:rsidRPr="007E7A37" w:rsidRDefault="00B56E7E" w:rsidP="00EF29D7">
            <w:pPr>
              <w:pStyle w:val="BodyText"/>
            </w:pPr>
            <w:r>
              <w:t xml:space="preserve">This window appears when </w:t>
            </w:r>
            <w:r w:rsidR="00EF29D7">
              <w:t>select Transaction Revaluation from the End of Period Processing menu.</w:t>
            </w:r>
          </w:p>
        </w:tc>
      </w:tr>
      <w:tr w:rsidR="00B56E7E" w:rsidTr="00581AC2">
        <w:trPr>
          <w:cantSplit/>
        </w:trPr>
        <w:tc>
          <w:tcPr>
            <w:tcW w:w="2410" w:type="dxa"/>
          </w:tcPr>
          <w:p w:rsidR="00B56E7E" w:rsidRDefault="00B56E7E" w:rsidP="00581AC2">
            <w:pPr>
              <w:pStyle w:val="Subheading"/>
            </w:pPr>
            <w:r>
              <w:t>Purpose</w:t>
            </w:r>
          </w:p>
        </w:tc>
        <w:tc>
          <w:tcPr>
            <w:tcW w:w="7088" w:type="dxa"/>
          </w:tcPr>
          <w:p w:rsidR="00B56E7E" w:rsidRPr="00BC0D5D" w:rsidRDefault="00B56E7E" w:rsidP="00BC0D5D">
            <w:pPr>
              <w:pStyle w:val="BodyText"/>
              <w:tabs>
                <w:tab w:val="left" w:pos="1988"/>
              </w:tabs>
            </w:pPr>
            <w:r w:rsidRPr="00BC0D5D">
              <w:t xml:space="preserve">This window </w:t>
            </w:r>
            <w:r w:rsidR="00117AD3" w:rsidRPr="00BC0D5D">
              <w:t>enables you to specify the selection options for transaction revaluation.</w:t>
            </w:r>
            <w:r w:rsidR="00BC0D5D" w:rsidRPr="00BC0D5D">
              <w:t xml:space="preserve"> </w:t>
            </w:r>
            <w:r w:rsidR="00BC0D5D">
              <w:t xml:space="preserve">This </w:t>
            </w:r>
            <w:r w:rsidR="00BC0D5D" w:rsidRPr="00BC0D5D">
              <w:t>function allows the outstanding value (in base currency) of foreign currency transactions to be recalculated using the exchange rates in force on a specified date. During revaluation, journals are created to record any exchange gains or losses and adjust the outstanding value (in base currency) of the revalued transactions.</w:t>
            </w:r>
          </w:p>
        </w:tc>
      </w:tr>
      <w:tr w:rsidR="00E926B6" w:rsidTr="00E926B6">
        <w:trPr>
          <w:cantSplit/>
        </w:trPr>
        <w:tc>
          <w:tcPr>
            <w:tcW w:w="2410" w:type="dxa"/>
          </w:tcPr>
          <w:p w:rsidR="00E926B6" w:rsidRPr="00E926B6" w:rsidRDefault="00E926B6" w:rsidP="00581AC2">
            <w:pPr>
              <w:pStyle w:val="Subheading"/>
              <w:rPr>
                <w:i/>
              </w:rPr>
            </w:pPr>
            <w:r w:rsidRPr="00E926B6">
              <w:rPr>
                <w:i/>
              </w:rPr>
              <w:t>Note</w:t>
            </w:r>
          </w:p>
        </w:tc>
        <w:tc>
          <w:tcPr>
            <w:tcW w:w="7088" w:type="dxa"/>
            <w:shd w:val="clear" w:color="auto" w:fill="D9D9D9" w:themeFill="background1" w:themeFillShade="D9"/>
          </w:tcPr>
          <w:p w:rsidR="00E926B6" w:rsidRPr="00BC0D5D" w:rsidRDefault="00E926B6" w:rsidP="00BC0D5D">
            <w:pPr>
              <w:pStyle w:val="BodyText"/>
              <w:tabs>
                <w:tab w:val="left" w:pos="1988"/>
              </w:tabs>
            </w:pPr>
            <w:r>
              <w:t>Next period transactions are ignored by the revaluation processing.</w:t>
            </w:r>
          </w:p>
        </w:tc>
      </w:tr>
    </w:tbl>
    <w:p w:rsidR="00B56E7E" w:rsidRDefault="00B56E7E" w:rsidP="00B56E7E"/>
    <w:p w:rsidR="00B56E7E" w:rsidRDefault="00B56E7E" w:rsidP="00B56E7E">
      <w:pPr>
        <w:pStyle w:val="Subheading3"/>
      </w:pPr>
      <w:r>
        <w:t>The prompts are:</w:t>
      </w: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410"/>
        <w:gridCol w:w="7092"/>
      </w:tblGrid>
      <w:tr w:rsidR="00806FD7" w:rsidTr="00581AC2">
        <w:trPr>
          <w:cantSplit/>
        </w:trPr>
        <w:tc>
          <w:tcPr>
            <w:tcW w:w="2410" w:type="dxa"/>
          </w:tcPr>
          <w:p w:rsidR="00806FD7" w:rsidRDefault="00806FD7" w:rsidP="00806FD7">
            <w:pPr>
              <w:pStyle w:val="subheading0"/>
            </w:pPr>
            <w:r>
              <w:t>Last revaluation</w:t>
            </w:r>
          </w:p>
        </w:tc>
        <w:tc>
          <w:tcPr>
            <w:tcW w:w="7092" w:type="dxa"/>
          </w:tcPr>
          <w:p w:rsidR="00806FD7" w:rsidRPr="00806FD7" w:rsidRDefault="00806FD7" w:rsidP="00806FD7">
            <w:pPr>
              <w:pStyle w:val="body-text"/>
              <w:ind w:left="0"/>
              <w:rPr>
                <w:rFonts w:ascii="Times New Roman" w:hAnsi="Times New Roman" w:cs="Times New Roman"/>
                <w:iCs/>
                <w:sz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</w:rPr>
              <w:t xml:space="preserve">(Display Only) </w:t>
            </w:r>
            <w:r>
              <w:rPr>
                <w:rFonts w:ascii="Times New Roman" w:hAnsi="Times New Roman" w:cs="Times New Roman"/>
                <w:iCs/>
                <w:sz w:val="20"/>
              </w:rPr>
              <w:t>The date transactions were last revalued and the operator that performed the revaluation.</w:t>
            </w:r>
          </w:p>
        </w:tc>
      </w:tr>
      <w:tr w:rsidR="00806FD7" w:rsidTr="00581AC2">
        <w:trPr>
          <w:cantSplit/>
        </w:trPr>
        <w:tc>
          <w:tcPr>
            <w:tcW w:w="2410" w:type="dxa"/>
          </w:tcPr>
          <w:p w:rsidR="00806FD7" w:rsidRDefault="00806FD7" w:rsidP="00806FD7">
            <w:pPr>
              <w:pStyle w:val="subheading0"/>
            </w:pPr>
            <w:r>
              <w:t>Single company</w:t>
            </w:r>
          </w:p>
        </w:tc>
        <w:tc>
          <w:tcPr>
            <w:tcW w:w="7092" w:type="dxa"/>
          </w:tcPr>
          <w:p w:rsidR="00806FD7" w:rsidRDefault="00806FD7" w:rsidP="00806FD7">
            <w:pPr>
              <w:pStyle w:val="body-text"/>
              <w:ind w:left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</w:rPr>
              <w:t xml:space="preserve">(Only for multi-company systems) </w:t>
            </w:r>
            <w:r>
              <w:rPr>
                <w:rFonts w:ascii="Times New Roman" w:hAnsi="Times New Roman" w:cs="Times New Roman"/>
                <w:sz w:val="20"/>
              </w:rPr>
              <w:t>Set this if you wish to limit the revaluation to transactions for a specific company, leave blank to revaluation transactions for each company in turn.</w:t>
            </w:r>
          </w:p>
        </w:tc>
      </w:tr>
      <w:tr w:rsidR="00806FD7" w:rsidTr="00581AC2">
        <w:trPr>
          <w:cantSplit/>
        </w:trPr>
        <w:tc>
          <w:tcPr>
            <w:tcW w:w="2410" w:type="dxa"/>
          </w:tcPr>
          <w:p w:rsidR="00806FD7" w:rsidRDefault="00806FD7" w:rsidP="00806FD7">
            <w:pPr>
              <w:pStyle w:val="subheading0"/>
            </w:pPr>
            <w:r>
              <w:t>Company</w:t>
            </w:r>
          </w:p>
        </w:tc>
        <w:tc>
          <w:tcPr>
            <w:tcW w:w="7092" w:type="dxa"/>
          </w:tcPr>
          <w:p w:rsidR="00806FD7" w:rsidRDefault="00806FD7" w:rsidP="00806FD7">
            <w:pPr>
              <w:pStyle w:val="body-text"/>
              <w:ind w:left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</w:rPr>
              <w:t>(Only if Single Company has been selected in a multi-company system)</w:t>
            </w:r>
            <w:r>
              <w:rPr>
                <w:rFonts w:ascii="Times New Roman" w:hAnsi="Times New Roman" w:cs="Times New Roman"/>
                <w:sz w:val="20"/>
              </w:rPr>
              <w:t xml:space="preserve"> Enter the code of the company required. A lookup is available.</w:t>
            </w:r>
          </w:p>
        </w:tc>
      </w:tr>
      <w:tr w:rsidR="00806FD7" w:rsidTr="00FF0CF0">
        <w:trPr>
          <w:cantSplit/>
        </w:trPr>
        <w:tc>
          <w:tcPr>
            <w:tcW w:w="2410" w:type="dxa"/>
          </w:tcPr>
          <w:p w:rsidR="00806FD7" w:rsidRDefault="00806FD7" w:rsidP="00806FD7">
            <w:pPr>
              <w:pStyle w:val="Subheading"/>
            </w:pPr>
            <w:r>
              <w:t xml:space="preserve">Revaluation date </w:t>
            </w:r>
          </w:p>
        </w:tc>
        <w:tc>
          <w:tcPr>
            <w:tcW w:w="7092" w:type="dxa"/>
            <w:shd w:val="clear" w:color="auto" w:fill="FFFFFF" w:themeFill="background1"/>
          </w:tcPr>
          <w:p w:rsidR="00806FD7" w:rsidRPr="00BC0D5D" w:rsidRDefault="00806FD7" w:rsidP="00272D06">
            <w:pPr>
              <w:pStyle w:val="BodyText"/>
            </w:pPr>
            <w:r>
              <w:t xml:space="preserve">The house exchange rate in force on the date entered here is used to revalue the base currency value of foreign currency transactions. </w:t>
            </w:r>
            <w:r w:rsidR="00272D06">
              <w:t>This must be within the current period</w:t>
            </w:r>
            <w:r>
              <w:t>.</w:t>
            </w:r>
          </w:p>
        </w:tc>
      </w:tr>
      <w:tr w:rsidR="00E74DE3" w:rsidTr="00FF0CF0">
        <w:trPr>
          <w:cantSplit/>
        </w:trPr>
        <w:tc>
          <w:tcPr>
            <w:tcW w:w="2410" w:type="dxa"/>
          </w:tcPr>
          <w:p w:rsidR="00E74DE3" w:rsidRDefault="00E74DE3" w:rsidP="00806FD7">
            <w:pPr>
              <w:pStyle w:val="Subheading"/>
            </w:pPr>
            <w:r>
              <w:t>Post journals arising from revaluation?</w:t>
            </w:r>
          </w:p>
        </w:tc>
        <w:tc>
          <w:tcPr>
            <w:tcW w:w="7092" w:type="dxa"/>
            <w:shd w:val="clear" w:color="auto" w:fill="FFFFFF" w:themeFill="background1"/>
          </w:tcPr>
          <w:p w:rsidR="00E74DE3" w:rsidRDefault="00E74DE3" w:rsidP="005315CD">
            <w:pPr>
              <w:pStyle w:val="BodyText"/>
            </w:pPr>
            <w:r>
              <w:t xml:space="preserve">Set this if you </w:t>
            </w:r>
            <w:r w:rsidR="001436CE">
              <w:t xml:space="preserve">want </w:t>
            </w:r>
            <w:bookmarkStart w:id="0" w:name="_GoBack"/>
            <w:bookmarkEnd w:id="0"/>
            <w:r>
              <w:t xml:space="preserve">the journals arising from the revaluation to be posted. </w:t>
            </w:r>
          </w:p>
        </w:tc>
      </w:tr>
      <w:tr w:rsidR="005315CD" w:rsidTr="00A721C2">
        <w:trPr>
          <w:cantSplit/>
        </w:trPr>
        <w:tc>
          <w:tcPr>
            <w:tcW w:w="2410" w:type="dxa"/>
          </w:tcPr>
          <w:p w:rsidR="005315CD" w:rsidRPr="00A721C2" w:rsidRDefault="005315CD" w:rsidP="00806FD7">
            <w:pPr>
              <w:pStyle w:val="Subheading"/>
              <w:rPr>
                <w:i/>
              </w:rPr>
            </w:pPr>
            <w:r w:rsidRPr="00A721C2">
              <w:rPr>
                <w:i/>
              </w:rPr>
              <w:t>Note</w:t>
            </w:r>
          </w:p>
        </w:tc>
        <w:tc>
          <w:tcPr>
            <w:tcW w:w="7092" w:type="dxa"/>
            <w:shd w:val="clear" w:color="auto" w:fill="D9D9D9" w:themeFill="background1" w:themeFillShade="D9"/>
          </w:tcPr>
          <w:p w:rsidR="005315CD" w:rsidRDefault="005315CD" w:rsidP="005315CD">
            <w:pPr>
              <w:pStyle w:val="BodyText"/>
            </w:pPr>
            <w:r>
              <w:t xml:space="preserve">If the journals arising from revaluation are not posted during the revaluation process you can review or delete them (but not amend them) </w:t>
            </w:r>
            <w:r w:rsidR="00A721C2">
              <w:t>within transaction entry.</w:t>
            </w:r>
          </w:p>
        </w:tc>
      </w:tr>
    </w:tbl>
    <w:p w:rsidR="00B56E7E" w:rsidRDefault="00B56E7E" w:rsidP="00C41FA4">
      <w:pPr>
        <w:tabs>
          <w:tab w:val="left" w:pos="1988"/>
        </w:tabs>
        <w:rPr>
          <w:rFonts w:ascii="CG Omega" w:hAnsi="CG Omega"/>
          <w:sz w:val="24"/>
        </w:rPr>
      </w:pPr>
    </w:p>
    <w:p w:rsidR="00DD4B00" w:rsidRDefault="00DD4B00" w:rsidP="00DD4B00">
      <w:pPr>
        <w:pStyle w:val="Heading3"/>
        <w:ind w:left="0"/>
      </w:pPr>
      <w:r>
        <w:lastRenderedPageBreak/>
        <w:t>CL End of Period</w:t>
      </w:r>
      <w:r>
        <w:tab/>
      </w:r>
    </w:p>
    <w:p w:rsidR="00DD4B00" w:rsidRDefault="00CD3D5B" w:rsidP="00DD4B00">
      <w:pPr>
        <w:rPr>
          <w:i/>
          <w:iCs/>
        </w:rPr>
      </w:pPr>
      <w:r>
        <w:rPr>
          <w:i/>
          <w:iCs/>
        </w:rPr>
        <w:t xml:space="preserve"> </w:t>
      </w:r>
      <w:r>
        <w:rPr>
          <w:noProof/>
        </w:rPr>
        <w:drawing>
          <wp:inline distT="0" distB="0" distL="0" distR="0" wp14:anchorId="22413AC4" wp14:editId="7DD19546">
            <wp:extent cx="5848350" cy="692467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48350" cy="6924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0B6F" w:rsidRDefault="00C80B6F" w:rsidP="00DD4B00">
      <w:pPr>
        <w:rPr>
          <w:i/>
          <w:iCs/>
        </w:rPr>
      </w:pP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410"/>
        <w:gridCol w:w="7092"/>
      </w:tblGrid>
      <w:tr w:rsidR="00DD4B00" w:rsidTr="00CF6682">
        <w:trPr>
          <w:cantSplit/>
        </w:trPr>
        <w:tc>
          <w:tcPr>
            <w:tcW w:w="2410" w:type="dxa"/>
          </w:tcPr>
          <w:p w:rsidR="00DD4B00" w:rsidRDefault="00DD4B00" w:rsidP="00CF6682">
            <w:pPr>
              <w:pStyle w:val="subheading0"/>
            </w:pPr>
            <w:r>
              <w:t>Revalue transactions</w:t>
            </w:r>
          </w:p>
        </w:tc>
        <w:tc>
          <w:tcPr>
            <w:tcW w:w="7092" w:type="dxa"/>
          </w:tcPr>
          <w:p w:rsidR="00DD4B00" w:rsidRDefault="00DD4B00" w:rsidP="004C2982">
            <w:pPr>
              <w:pStyle w:val="body-text"/>
              <w:ind w:left="0"/>
              <w:rPr>
                <w:rFonts w:ascii="Times New Roman" w:hAnsi="Times New Roman" w:cs="Times New Roman"/>
                <w:i/>
                <w:iCs/>
                <w:sz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</w:rPr>
              <w:t xml:space="preserve">(Only for multi-currency systems) </w:t>
            </w:r>
            <w:r>
              <w:rPr>
                <w:rFonts w:ascii="Times New Roman" w:hAnsi="Times New Roman" w:cs="Times New Roman"/>
                <w:sz w:val="20"/>
              </w:rPr>
              <w:t xml:space="preserve">Set this if you wish </w:t>
            </w:r>
            <w:r w:rsidRPr="00BC0D5D">
              <w:rPr>
                <w:rFonts w:ascii="Times New Roman" w:hAnsi="Times New Roman" w:cs="Times New Roman"/>
                <w:sz w:val="20"/>
                <w:szCs w:val="20"/>
              </w:rPr>
              <w:t>the outstanding value (in base currency) of foreign currency transactions to be recalculated using the exchange rates in force on a specified date. During revaluation, journals are created to record any exchange gains or losses and adjust the outstanding value (in base currency) of the revalued transactions.</w:t>
            </w:r>
          </w:p>
        </w:tc>
      </w:tr>
      <w:tr w:rsidR="00DD4B00" w:rsidTr="00CF6682">
        <w:trPr>
          <w:cantSplit/>
        </w:trPr>
        <w:tc>
          <w:tcPr>
            <w:tcW w:w="2410" w:type="dxa"/>
          </w:tcPr>
          <w:p w:rsidR="00DD4B00" w:rsidRPr="00506C67" w:rsidRDefault="00DD4B00" w:rsidP="00CF6682">
            <w:pPr>
              <w:pStyle w:val="subheading0"/>
              <w:rPr>
                <w:i/>
              </w:rPr>
            </w:pPr>
            <w:r w:rsidRPr="00506C67">
              <w:rPr>
                <w:i/>
              </w:rPr>
              <w:t>Note</w:t>
            </w:r>
          </w:p>
        </w:tc>
        <w:tc>
          <w:tcPr>
            <w:tcW w:w="7092" w:type="dxa"/>
            <w:shd w:val="clear" w:color="auto" w:fill="D9D9D9" w:themeFill="background1" w:themeFillShade="D9"/>
          </w:tcPr>
          <w:p w:rsidR="00DD4B00" w:rsidRPr="00506C67" w:rsidRDefault="00DD4B00" w:rsidP="00534930">
            <w:pPr>
              <w:pStyle w:val="body-text"/>
              <w:ind w:left="0"/>
              <w:rPr>
                <w:rFonts w:ascii="Times New Roman" w:hAnsi="Times New Roman" w:cs="Times New Roman"/>
                <w:iCs/>
                <w:sz w:val="20"/>
              </w:rPr>
            </w:pPr>
            <w:r>
              <w:rPr>
                <w:rFonts w:ascii="Times New Roman" w:hAnsi="Times New Roman" w:cs="Times New Roman"/>
                <w:iCs/>
                <w:sz w:val="20"/>
              </w:rPr>
              <w:t xml:space="preserve">The </w:t>
            </w:r>
            <w:r w:rsidR="00E74DE3">
              <w:rPr>
                <w:rFonts w:ascii="Times New Roman" w:hAnsi="Times New Roman" w:cs="Times New Roman"/>
                <w:iCs/>
                <w:sz w:val="20"/>
              </w:rPr>
              <w:t>journals arising from the revaluation are automatically posted</w:t>
            </w:r>
            <w:r>
              <w:rPr>
                <w:rFonts w:ascii="Times New Roman" w:hAnsi="Times New Roman" w:cs="Times New Roman"/>
                <w:iCs/>
                <w:sz w:val="20"/>
              </w:rPr>
              <w:t>.</w:t>
            </w:r>
          </w:p>
        </w:tc>
      </w:tr>
      <w:tr w:rsidR="00DD4B00" w:rsidTr="00CF6682">
        <w:trPr>
          <w:cantSplit/>
        </w:trPr>
        <w:tc>
          <w:tcPr>
            <w:tcW w:w="2410" w:type="dxa"/>
          </w:tcPr>
          <w:p w:rsidR="00DD4B00" w:rsidRDefault="00DD4B00" w:rsidP="00CF6682">
            <w:pPr>
              <w:pStyle w:val="subheading0"/>
            </w:pPr>
            <w:r>
              <w:t>Revaluation date</w:t>
            </w:r>
          </w:p>
        </w:tc>
        <w:tc>
          <w:tcPr>
            <w:tcW w:w="7092" w:type="dxa"/>
          </w:tcPr>
          <w:p w:rsidR="00DD4B00" w:rsidRPr="00BC0D5D" w:rsidRDefault="00DD4B00" w:rsidP="00272D06">
            <w:pPr>
              <w:pStyle w:val="BodyText"/>
            </w:pPr>
            <w:r w:rsidRPr="0084283C">
              <w:rPr>
                <w:i/>
              </w:rPr>
              <w:t>(Only if revaluing transactions)</w:t>
            </w:r>
            <w:r>
              <w:t xml:space="preserve"> The house exchange rate in force on the date entered here is used to revalue the base currency value of foreign currency transactions. This </w:t>
            </w:r>
            <w:r w:rsidR="00272D06">
              <w:t xml:space="preserve">must be within the </w:t>
            </w:r>
            <w:r>
              <w:t>period being closed.</w:t>
            </w:r>
          </w:p>
        </w:tc>
      </w:tr>
    </w:tbl>
    <w:p w:rsidR="00DD4B00" w:rsidRDefault="00DD4B00" w:rsidP="00DD4B00">
      <w:pPr>
        <w:pStyle w:val="Heading3"/>
        <w:ind w:left="0"/>
      </w:pPr>
      <w:r>
        <w:lastRenderedPageBreak/>
        <w:t>DL Transaction Revaluation</w:t>
      </w:r>
    </w:p>
    <w:p w:rsidR="00DD4B00" w:rsidRDefault="00941BAE" w:rsidP="00DD4B00">
      <w:pPr>
        <w:rPr>
          <w:i/>
          <w:iCs/>
        </w:rPr>
      </w:pPr>
      <w:r>
        <w:rPr>
          <w:noProof/>
        </w:rPr>
        <w:drawing>
          <wp:inline distT="0" distB="0" distL="0" distR="0" wp14:anchorId="58F6563A" wp14:editId="6D2C0C31">
            <wp:extent cx="4819650" cy="332422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19650" cy="3324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1BAE" w:rsidRDefault="00941BAE" w:rsidP="00DD4B00">
      <w:pPr>
        <w:rPr>
          <w:i/>
          <w:iCs/>
        </w:rPr>
      </w:pP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410"/>
        <w:gridCol w:w="7088"/>
      </w:tblGrid>
      <w:tr w:rsidR="00DD4B00" w:rsidRPr="007E7A37" w:rsidTr="00CF6682">
        <w:trPr>
          <w:cantSplit/>
        </w:trPr>
        <w:tc>
          <w:tcPr>
            <w:tcW w:w="2410" w:type="dxa"/>
          </w:tcPr>
          <w:p w:rsidR="00DD4B00" w:rsidRDefault="00DD4B00" w:rsidP="00CF6682">
            <w:pPr>
              <w:pStyle w:val="Subheading"/>
            </w:pPr>
          </w:p>
        </w:tc>
        <w:tc>
          <w:tcPr>
            <w:tcW w:w="7088" w:type="dxa"/>
          </w:tcPr>
          <w:p w:rsidR="00DD4B00" w:rsidRPr="007E7A37" w:rsidRDefault="00DD4B00" w:rsidP="00CF6682">
            <w:pPr>
              <w:pStyle w:val="BodyText"/>
            </w:pPr>
            <w:r>
              <w:t>This window appears when select Transaction Revaluation from the End of Period Processing menu.</w:t>
            </w:r>
          </w:p>
        </w:tc>
      </w:tr>
      <w:tr w:rsidR="00DD4B00" w:rsidTr="00CF6682">
        <w:trPr>
          <w:cantSplit/>
        </w:trPr>
        <w:tc>
          <w:tcPr>
            <w:tcW w:w="2410" w:type="dxa"/>
          </w:tcPr>
          <w:p w:rsidR="00DD4B00" w:rsidRDefault="00DD4B00" w:rsidP="00CF6682">
            <w:pPr>
              <w:pStyle w:val="Subheading"/>
            </w:pPr>
            <w:r>
              <w:t>Purpose</w:t>
            </w:r>
          </w:p>
        </w:tc>
        <w:tc>
          <w:tcPr>
            <w:tcW w:w="7088" w:type="dxa"/>
          </w:tcPr>
          <w:p w:rsidR="00DD4B00" w:rsidRPr="00BC0D5D" w:rsidRDefault="00DD4B00" w:rsidP="00CF6682">
            <w:pPr>
              <w:pStyle w:val="BodyText"/>
              <w:tabs>
                <w:tab w:val="left" w:pos="1988"/>
              </w:tabs>
            </w:pPr>
            <w:r w:rsidRPr="00BC0D5D">
              <w:t xml:space="preserve">This window enables you to specify the selection options for transaction revaluation. </w:t>
            </w:r>
            <w:r>
              <w:t xml:space="preserve">This </w:t>
            </w:r>
            <w:r w:rsidRPr="00BC0D5D">
              <w:t>function allows the outstanding value (in base currency) of foreign currency transactions to be recalculated using the exchange rates in force on a specified date. During revaluation, journals are created to record any exchange gains or losses and adjust the outstanding value (in base currency) of the revalued transactions.</w:t>
            </w:r>
          </w:p>
        </w:tc>
      </w:tr>
      <w:tr w:rsidR="00E926B6" w:rsidTr="00E926B6">
        <w:trPr>
          <w:cantSplit/>
        </w:trPr>
        <w:tc>
          <w:tcPr>
            <w:tcW w:w="2410" w:type="dxa"/>
          </w:tcPr>
          <w:p w:rsidR="00E926B6" w:rsidRPr="00E926B6" w:rsidRDefault="00E926B6" w:rsidP="00E926B6">
            <w:pPr>
              <w:pStyle w:val="Subheading"/>
              <w:rPr>
                <w:i/>
              </w:rPr>
            </w:pPr>
            <w:r w:rsidRPr="00E926B6">
              <w:rPr>
                <w:i/>
              </w:rPr>
              <w:t>Note</w:t>
            </w:r>
          </w:p>
        </w:tc>
        <w:tc>
          <w:tcPr>
            <w:tcW w:w="7088" w:type="dxa"/>
            <w:shd w:val="clear" w:color="auto" w:fill="D9D9D9" w:themeFill="background1" w:themeFillShade="D9"/>
          </w:tcPr>
          <w:p w:rsidR="00E926B6" w:rsidRPr="00BC0D5D" w:rsidRDefault="00E926B6" w:rsidP="00E926B6">
            <w:pPr>
              <w:pStyle w:val="BodyText"/>
              <w:tabs>
                <w:tab w:val="left" w:pos="1988"/>
              </w:tabs>
            </w:pPr>
            <w:r>
              <w:t>Next period transactions are ignored by the revaluation processing.</w:t>
            </w:r>
          </w:p>
        </w:tc>
      </w:tr>
    </w:tbl>
    <w:p w:rsidR="00DD4B00" w:rsidRDefault="00DD4B00" w:rsidP="00DD4B00"/>
    <w:p w:rsidR="00DD4B00" w:rsidRDefault="00DD4B00" w:rsidP="00DD4B00">
      <w:pPr>
        <w:pStyle w:val="Subheading3"/>
      </w:pPr>
      <w:r>
        <w:t>The prompts are:</w:t>
      </w: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410"/>
        <w:gridCol w:w="7092"/>
      </w:tblGrid>
      <w:tr w:rsidR="00806FD7" w:rsidTr="00CF6682">
        <w:trPr>
          <w:cantSplit/>
        </w:trPr>
        <w:tc>
          <w:tcPr>
            <w:tcW w:w="2410" w:type="dxa"/>
          </w:tcPr>
          <w:p w:rsidR="00806FD7" w:rsidRDefault="00806FD7" w:rsidP="00806FD7">
            <w:pPr>
              <w:pStyle w:val="subheading0"/>
            </w:pPr>
            <w:r>
              <w:t>Last revaluation</w:t>
            </w:r>
          </w:p>
        </w:tc>
        <w:tc>
          <w:tcPr>
            <w:tcW w:w="7092" w:type="dxa"/>
          </w:tcPr>
          <w:p w:rsidR="00806FD7" w:rsidRPr="00806FD7" w:rsidRDefault="00806FD7" w:rsidP="00806FD7">
            <w:pPr>
              <w:pStyle w:val="body-text"/>
              <w:ind w:left="0"/>
              <w:rPr>
                <w:rFonts w:ascii="Times New Roman" w:hAnsi="Times New Roman" w:cs="Times New Roman"/>
                <w:iCs/>
                <w:sz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</w:rPr>
              <w:t xml:space="preserve">(Display Only) </w:t>
            </w:r>
            <w:r>
              <w:rPr>
                <w:rFonts w:ascii="Times New Roman" w:hAnsi="Times New Roman" w:cs="Times New Roman"/>
                <w:iCs/>
                <w:sz w:val="20"/>
              </w:rPr>
              <w:t>The date transactions were last revalued and the operator that performed the revaluation.</w:t>
            </w:r>
          </w:p>
        </w:tc>
      </w:tr>
      <w:tr w:rsidR="00806FD7" w:rsidTr="00CF6682">
        <w:trPr>
          <w:cantSplit/>
        </w:trPr>
        <w:tc>
          <w:tcPr>
            <w:tcW w:w="2410" w:type="dxa"/>
          </w:tcPr>
          <w:p w:rsidR="00806FD7" w:rsidRDefault="00806FD7" w:rsidP="00806FD7">
            <w:pPr>
              <w:pStyle w:val="subheading0"/>
            </w:pPr>
            <w:r>
              <w:t>Single company</w:t>
            </w:r>
          </w:p>
        </w:tc>
        <w:tc>
          <w:tcPr>
            <w:tcW w:w="7092" w:type="dxa"/>
          </w:tcPr>
          <w:p w:rsidR="00806FD7" w:rsidRDefault="00806FD7" w:rsidP="00806FD7">
            <w:pPr>
              <w:pStyle w:val="body-text"/>
              <w:ind w:left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</w:rPr>
              <w:t xml:space="preserve">(Only for multi-company systems) </w:t>
            </w:r>
            <w:r>
              <w:rPr>
                <w:rFonts w:ascii="Times New Roman" w:hAnsi="Times New Roman" w:cs="Times New Roman"/>
                <w:sz w:val="20"/>
              </w:rPr>
              <w:t>Set this if you wish to limit the revaluation to transactions for a specific company, leave blank to revaluation transactions for each company in turn.</w:t>
            </w:r>
          </w:p>
        </w:tc>
      </w:tr>
      <w:tr w:rsidR="00806FD7" w:rsidTr="00CF6682">
        <w:trPr>
          <w:cantSplit/>
        </w:trPr>
        <w:tc>
          <w:tcPr>
            <w:tcW w:w="2410" w:type="dxa"/>
          </w:tcPr>
          <w:p w:rsidR="00806FD7" w:rsidRDefault="00806FD7" w:rsidP="00806FD7">
            <w:pPr>
              <w:pStyle w:val="subheading0"/>
            </w:pPr>
            <w:r>
              <w:t>Company</w:t>
            </w:r>
          </w:p>
        </w:tc>
        <w:tc>
          <w:tcPr>
            <w:tcW w:w="7092" w:type="dxa"/>
          </w:tcPr>
          <w:p w:rsidR="00806FD7" w:rsidRDefault="00806FD7" w:rsidP="00806FD7">
            <w:pPr>
              <w:pStyle w:val="body-text"/>
              <w:ind w:left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</w:rPr>
              <w:t>(Only if Single Company has been selected in a multi-company system)</w:t>
            </w:r>
            <w:r>
              <w:rPr>
                <w:rFonts w:ascii="Times New Roman" w:hAnsi="Times New Roman" w:cs="Times New Roman"/>
                <w:sz w:val="20"/>
              </w:rPr>
              <w:t xml:space="preserve"> Enter the code of the company required. A lookup is available.</w:t>
            </w:r>
          </w:p>
        </w:tc>
      </w:tr>
      <w:tr w:rsidR="00806FD7" w:rsidTr="00CF6682">
        <w:trPr>
          <w:cantSplit/>
        </w:trPr>
        <w:tc>
          <w:tcPr>
            <w:tcW w:w="2410" w:type="dxa"/>
          </w:tcPr>
          <w:p w:rsidR="00806FD7" w:rsidRDefault="00806FD7" w:rsidP="00806FD7">
            <w:pPr>
              <w:pStyle w:val="Subheading"/>
            </w:pPr>
            <w:r>
              <w:t xml:space="preserve">Revaluation date </w:t>
            </w:r>
          </w:p>
        </w:tc>
        <w:tc>
          <w:tcPr>
            <w:tcW w:w="7092" w:type="dxa"/>
            <w:shd w:val="clear" w:color="auto" w:fill="FFFFFF" w:themeFill="background1"/>
          </w:tcPr>
          <w:p w:rsidR="00806FD7" w:rsidRPr="00BC0D5D" w:rsidRDefault="00806FD7" w:rsidP="00272D06">
            <w:pPr>
              <w:pStyle w:val="BodyText"/>
            </w:pPr>
            <w:r>
              <w:t xml:space="preserve">The house exchange rate in force on the date entered here is used to revalue the base currency value of foreign currency transactions. This </w:t>
            </w:r>
            <w:r w:rsidR="00272D06">
              <w:t>must be within the current period.</w:t>
            </w:r>
          </w:p>
        </w:tc>
      </w:tr>
      <w:tr w:rsidR="00E74DE3" w:rsidTr="00CF6682">
        <w:trPr>
          <w:cantSplit/>
        </w:trPr>
        <w:tc>
          <w:tcPr>
            <w:tcW w:w="2410" w:type="dxa"/>
          </w:tcPr>
          <w:p w:rsidR="00E74DE3" w:rsidRDefault="00E74DE3" w:rsidP="00E74DE3">
            <w:pPr>
              <w:pStyle w:val="Subheading"/>
            </w:pPr>
            <w:r>
              <w:t>Post journals arising from revaluation?</w:t>
            </w:r>
          </w:p>
        </w:tc>
        <w:tc>
          <w:tcPr>
            <w:tcW w:w="7092" w:type="dxa"/>
            <w:shd w:val="clear" w:color="auto" w:fill="FFFFFF" w:themeFill="background1"/>
          </w:tcPr>
          <w:p w:rsidR="00E74DE3" w:rsidRDefault="00E74DE3" w:rsidP="00E74DE3">
            <w:pPr>
              <w:pStyle w:val="BodyText"/>
            </w:pPr>
            <w:r>
              <w:t xml:space="preserve">Set this if you </w:t>
            </w:r>
            <w:r w:rsidR="001436CE">
              <w:t xml:space="preserve">want </w:t>
            </w:r>
            <w:r>
              <w:t xml:space="preserve">the journals arising from the revaluation to be posted. </w:t>
            </w:r>
          </w:p>
        </w:tc>
      </w:tr>
      <w:tr w:rsidR="00A721C2" w:rsidTr="00A721C2">
        <w:trPr>
          <w:cantSplit/>
        </w:trPr>
        <w:tc>
          <w:tcPr>
            <w:tcW w:w="2410" w:type="dxa"/>
          </w:tcPr>
          <w:p w:rsidR="00A721C2" w:rsidRPr="00A721C2" w:rsidRDefault="00A721C2" w:rsidP="00A721C2">
            <w:pPr>
              <w:pStyle w:val="Subheading"/>
              <w:rPr>
                <w:i/>
              </w:rPr>
            </w:pPr>
            <w:r w:rsidRPr="00A721C2">
              <w:rPr>
                <w:i/>
              </w:rPr>
              <w:t>Note</w:t>
            </w:r>
          </w:p>
        </w:tc>
        <w:tc>
          <w:tcPr>
            <w:tcW w:w="7092" w:type="dxa"/>
            <w:shd w:val="clear" w:color="auto" w:fill="D9D9D9" w:themeFill="background1" w:themeFillShade="D9"/>
          </w:tcPr>
          <w:p w:rsidR="00A721C2" w:rsidRDefault="00A721C2" w:rsidP="00A721C2">
            <w:pPr>
              <w:pStyle w:val="BodyText"/>
            </w:pPr>
            <w:r>
              <w:t>If the journals arising from revaluation are not posted during the revaluation process you can review or delete them (but not amend them) within transaction entry.</w:t>
            </w:r>
          </w:p>
        </w:tc>
      </w:tr>
    </w:tbl>
    <w:p w:rsidR="00F6735E" w:rsidRDefault="00F6735E" w:rsidP="00DD4B00">
      <w:pPr>
        <w:tabs>
          <w:tab w:val="left" w:pos="1988"/>
        </w:tabs>
        <w:rPr>
          <w:rFonts w:ascii="CG Omega" w:hAnsi="CG Omega"/>
          <w:sz w:val="24"/>
        </w:rPr>
      </w:pPr>
    </w:p>
    <w:p w:rsidR="00F6735E" w:rsidRDefault="00F6735E" w:rsidP="00F6735E">
      <w:r>
        <w:br w:type="page"/>
      </w:r>
    </w:p>
    <w:p w:rsidR="00DD4B00" w:rsidRDefault="00373713" w:rsidP="00DD4B00">
      <w:pPr>
        <w:pStyle w:val="Heading3"/>
        <w:ind w:left="0"/>
      </w:pPr>
      <w:r>
        <w:lastRenderedPageBreak/>
        <w:t>D</w:t>
      </w:r>
      <w:r w:rsidR="00DD4B00">
        <w:t>L End of Period</w:t>
      </w:r>
      <w:r w:rsidR="00DD4B00">
        <w:tab/>
      </w:r>
    </w:p>
    <w:p w:rsidR="00DD4B00" w:rsidRDefault="00373713" w:rsidP="00DD4B00">
      <w:pPr>
        <w:rPr>
          <w:i/>
          <w:iCs/>
        </w:rPr>
      </w:pPr>
      <w:r>
        <w:rPr>
          <w:noProof/>
        </w:rPr>
        <w:drawing>
          <wp:inline distT="0" distB="0" distL="0" distR="0" wp14:anchorId="6D8A947A" wp14:editId="532711B4">
            <wp:extent cx="5829300" cy="70485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829300" cy="704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iCs/>
        </w:rPr>
        <w:t xml:space="preserve"> </w:t>
      </w:r>
    </w:p>
    <w:p w:rsidR="00D12365" w:rsidRDefault="00D12365" w:rsidP="00DD4B00">
      <w:pPr>
        <w:rPr>
          <w:i/>
          <w:iCs/>
        </w:rPr>
      </w:pPr>
    </w:p>
    <w:p w:rsidR="00D12365" w:rsidRDefault="00D12365" w:rsidP="00DD4B00">
      <w:pPr>
        <w:rPr>
          <w:i/>
          <w:iCs/>
        </w:rPr>
      </w:pPr>
    </w:p>
    <w:p w:rsidR="00D12365" w:rsidRDefault="00D12365" w:rsidP="00DD4B00">
      <w:pPr>
        <w:rPr>
          <w:i/>
          <w:iCs/>
        </w:rPr>
      </w:pPr>
    </w:p>
    <w:p w:rsidR="00D12365" w:rsidRDefault="00D12365" w:rsidP="00DD4B00">
      <w:pPr>
        <w:rPr>
          <w:i/>
          <w:iCs/>
        </w:rPr>
      </w:pPr>
    </w:p>
    <w:p w:rsidR="00D12365" w:rsidRDefault="00D12365" w:rsidP="00DD4B00">
      <w:pPr>
        <w:rPr>
          <w:i/>
          <w:iCs/>
        </w:rPr>
      </w:pPr>
    </w:p>
    <w:p w:rsidR="00D12365" w:rsidRDefault="00D12365" w:rsidP="00DD4B00">
      <w:pPr>
        <w:rPr>
          <w:i/>
          <w:iCs/>
        </w:rPr>
      </w:pPr>
    </w:p>
    <w:p w:rsidR="00D12365" w:rsidRDefault="00D12365" w:rsidP="00DD4B00">
      <w:pPr>
        <w:rPr>
          <w:i/>
          <w:iCs/>
        </w:rPr>
      </w:pPr>
    </w:p>
    <w:p w:rsidR="00D12365" w:rsidRDefault="00D12365" w:rsidP="00DD4B00">
      <w:pPr>
        <w:rPr>
          <w:i/>
          <w:iCs/>
        </w:rPr>
      </w:pP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410"/>
        <w:gridCol w:w="7092"/>
      </w:tblGrid>
      <w:tr w:rsidR="00DD4B00" w:rsidTr="00CF6682">
        <w:trPr>
          <w:cantSplit/>
        </w:trPr>
        <w:tc>
          <w:tcPr>
            <w:tcW w:w="2410" w:type="dxa"/>
          </w:tcPr>
          <w:p w:rsidR="00DD4B00" w:rsidRDefault="00DD4B00" w:rsidP="00CF6682">
            <w:pPr>
              <w:pStyle w:val="subheading0"/>
            </w:pPr>
            <w:r>
              <w:lastRenderedPageBreak/>
              <w:t>Revalue transactions</w:t>
            </w:r>
          </w:p>
        </w:tc>
        <w:tc>
          <w:tcPr>
            <w:tcW w:w="7092" w:type="dxa"/>
          </w:tcPr>
          <w:p w:rsidR="00DD4B00" w:rsidRDefault="00DD4B00" w:rsidP="004C2982">
            <w:pPr>
              <w:pStyle w:val="body-text"/>
              <w:ind w:left="0"/>
              <w:rPr>
                <w:rFonts w:ascii="Times New Roman" w:hAnsi="Times New Roman" w:cs="Times New Roman"/>
                <w:i/>
                <w:iCs/>
                <w:sz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</w:rPr>
              <w:t xml:space="preserve">(Only for multi-currency systems) </w:t>
            </w:r>
            <w:r>
              <w:rPr>
                <w:rFonts w:ascii="Times New Roman" w:hAnsi="Times New Roman" w:cs="Times New Roman"/>
                <w:sz w:val="20"/>
              </w:rPr>
              <w:t xml:space="preserve">Set this if you wish </w:t>
            </w:r>
            <w:r w:rsidRPr="00BC0D5D">
              <w:rPr>
                <w:rFonts w:ascii="Times New Roman" w:hAnsi="Times New Roman" w:cs="Times New Roman"/>
                <w:sz w:val="20"/>
                <w:szCs w:val="20"/>
              </w:rPr>
              <w:t>the outstanding value (in base currency) of foreign currency transactions to be recalculated using the exchange rates in force on a specified date. During revaluation, journals are created to record any exchange gains or losses and adjust the outstanding value (in base currency) of the revalued transactions.</w:t>
            </w:r>
          </w:p>
        </w:tc>
      </w:tr>
      <w:tr w:rsidR="00DD4B00" w:rsidTr="00CF6682">
        <w:trPr>
          <w:cantSplit/>
        </w:trPr>
        <w:tc>
          <w:tcPr>
            <w:tcW w:w="2410" w:type="dxa"/>
          </w:tcPr>
          <w:p w:rsidR="00DD4B00" w:rsidRPr="00506C67" w:rsidRDefault="00DD4B00" w:rsidP="00CF6682">
            <w:pPr>
              <w:pStyle w:val="subheading0"/>
              <w:rPr>
                <w:i/>
              </w:rPr>
            </w:pPr>
            <w:r w:rsidRPr="00506C67">
              <w:rPr>
                <w:i/>
              </w:rPr>
              <w:t>Note</w:t>
            </w:r>
          </w:p>
        </w:tc>
        <w:tc>
          <w:tcPr>
            <w:tcW w:w="7092" w:type="dxa"/>
            <w:shd w:val="clear" w:color="auto" w:fill="D9D9D9" w:themeFill="background1" w:themeFillShade="D9"/>
          </w:tcPr>
          <w:p w:rsidR="00DD4B00" w:rsidRPr="00506C67" w:rsidRDefault="00DD4B00" w:rsidP="00373713">
            <w:pPr>
              <w:pStyle w:val="body-text"/>
              <w:ind w:left="0"/>
              <w:rPr>
                <w:rFonts w:ascii="Times New Roman" w:hAnsi="Times New Roman" w:cs="Times New Roman"/>
                <w:iCs/>
                <w:sz w:val="20"/>
              </w:rPr>
            </w:pPr>
            <w:r>
              <w:rPr>
                <w:rFonts w:ascii="Times New Roman" w:hAnsi="Times New Roman" w:cs="Times New Roman"/>
                <w:iCs/>
                <w:sz w:val="20"/>
              </w:rPr>
              <w:t xml:space="preserve">The </w:t>
            </w:r>
            <w:r w:rsidR="00A509CF">
              <w:rPr>
                <w:rFonts w:ascii="Times New Roman" w:hAnsi="Times New Roman" w:cs="Times New Roman"/>
                <w:iCs/>
                <w:sz w:val="20"/>
              </w:rPr>
              <w:t>journals arising from the revaluation are automatically posted.</w:t>
            </w:r>
          </w:p>
        </w:tc>
      </w:tr>
      <w:tr w:rsidR="00DD4B00" w:rsidTr="00CF6682">
        <w:trPr>
          <w:cantSplit/>
        </w:trPr>
        <w:tc>
          <w:tcPr>
            <w:tcW w:w="2410" w:type="dxa"/>
          </w:tcPr>
          <w:p w:rsidR="00DD4B00" w:rsidRDefault="00DD4B00" w:rsidP="00CF6682">
            <w:pPr>
              <w:pStyle w:val="subheading0"/>
            </w:pPr>
            <w:r>
              <w:t>Revaluation date</w:t>
            </w:r>
          </w:p>
        </w:tc>
        <w:tc>
          <w:tcPr>
            <w:tcW w:w="7092" w:type="dxa"/>
          </w:tcPr>
          <w:p w:rsidR="00DD4B00" w:rsidRPr="00BC0D5D" w:rsidRDefault="00DD4B00" w:rsidP="00156158">
            <w:pPr>
              <w:pStyle w:val="BodyText"/>
            </w:pPr>
            <w:r w:rsidRPr="0084283C">
              <w:rPr>
                <w:i/>
              </w:rPr>
              <w:t>(Only if revaluing transactions)</w:t>
            </w:r>
            <w:r>
              <w:t xml:space="preserve"> The house exchange rate in force on the date entered here is used to revalue the base currency value of foreign currency transactions. This </w:t>
            </w:r>
            <w:r w:rsidR="00272D06">
              <w:t>must be within</w:t>
            </w:r>
            <w:r w:rsidR="00156158">
              <w:t xml:space="preserve"> </w:t>
            </w:r>
            <w:r>
              <w:t>the period being closed.</w:t>
            </w:r>
          </w:p>
        </w:tc>
      </w:tr>
    </w:tbl>
    <w:p w:rsidR="00D87BD3" w:rsidRDefault="00D87BD3" w:rsidP="00D12365">
      <w:pPr>
        <w:pStyle w:val="BodyText"/>
        <w:tabs>
          <w:tab w:val="left" w:pos="1988"/>
        </w:tabs>
        <w:rPr>
          <w:i/>
        </w:rPr>
      </w:pPr>
    </w:p>
    <w:sectPr w:rsidR="00D87BD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850" w:bottom="340" w:left="964" w:header="720" w:footer="2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7CAD" w:rsidRDefault="00F47CAD">
      <w:r>
        <w:separator/>
      </w:r>
    </w:p>
  </w:endnote>
  <w:endnote w:type="continuationSeparator" w:id="0">
    <w:p w:rsidR="00F47CAD" w:rsidRDefault="00F47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Omega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2365" w:rsidRDefault="00D1236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178"/>
      <w:gridCol w:w="7200"/>
      <w:gridCol w:w="930"/>
    </w:tblGrid>
    <w:tr w:rsidR="0044231B">
      <w:tc>
        <w:tcPr>
          <w:tcW w:w="2178" w:type="dxa"/>
        </w:tcPr>
        <w:p w:rsidR="0044231B" w:rsidRDefault="0044231B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Author</w:t>
          </w:r>
        </w:p>
      </w:tc>
      <w:tc>
        <w:tcPr>
          <w:tcW w:w="8130" w:type="dxa"/>
          <w:gridSpan w:val="2"/>
          <w:vAlign w:val="center"/>
        </w:tcPr>
        <w:p w:rsidR="0044231B" w:rsidRDefault="0044231B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AUTHOR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C80B6F">
            <w:rPr>
              <w:rFonts w:ascii="Arial" w:hAnsi="Arial"/>
              <w:noProof/>
              <w:sz w:val="18"/>
            </w:rPr>
            <w:t>DCP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44231B">
      <w:tc>
        <w:tcPr>
          <w:tcW w:w="2178" w:type="dxa"/>
        </w:tcPr>
        <w:p w:rsidR="0044231B" w:rsidRDefault="0044231B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Project</w:t>
          </w:r>
        </w:p>
      </w:tc>
      <w:tc>
        <w:tcPr>
          <w:tcW w:w="8130" w:type="dxa"/>
          <w:gridSpan w:val="2"/>
          <w:vAlign w:val="center"/>
        </w:tcPr>
        <w:p w:rsidR="0044231B" w:rsidRDefault="0044231B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FILENAME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C80B6F">
            <w:rPr>
              <w:rFonts w:ascii="Arial" w:hAnsi="Arial"/>
              <w:noProof/>
              <w:sz w:val="18"/>
            </w:rPr>
            <w:t>ZM60_000454.docx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44231B">
      <w:trPr>
        <w:cantSplit/>
      </w:trPr>
      <w:tc>
        <w:tcPr>
          <w:tcW w:w="2178" w:type="dxa"/>
        </w:tcPr>
        <w:p w:rsidR="0044231B" w:rsidRDefault="0044231B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Version</w:t>
          </w:r>
        </w:p>
      </w:tc>
      <w:tc>
        <w:tcPr>
          <w:tcW w:w="7200" w:type="dxa"/>
          <w:vAlign w:val="center"/>
        </w:tcPr>
        <w:p w:rsidR="0044231B" w:rsidRDefault="0044231B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KEYWORDS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C80B6F">
            <w:rPr>
              <w:rFonts w:ascii="Arial" w:hAnsi="Arial"/>
              <w:sz w:val="18"/>
            </w:rPr>
            <w:t>1.0</w:t>
          </w:r>
          <w:r>
            <w:rPr>
              <w:rFonts w:ascii="Arial" w:hAnsi="Arial"/>
              <w:sz w:val="18"/>
            </w:rPr>
            <w:fldChar w:fldCharType="end"/>
          </w:r>
        </w:p>
      </w:tc>
      <w:tc>
        <w:tcPr>
          <w:tcW w:w="930" w:type="dxa"/>
          <w:vAlign w:val="center"/>
        </w:tcPr>
        <w:p w:rsidR="0044231B" w:rsidRDefault="0044231B" w:rsidP="00D12365">
          <w:pPr>
            <w:tabs>
              <w:tab w:val="center" w:pos="5232"/>
              <w:tab w:val="right" w:pos="10465"/>
            </w:tabs>
            <w:suppressAutoHyphens/>
            <w:jc w:val="right"/>
          </w:pPr>
          <w:r>
            <w:fldChar w:fldCharType="begin"/>
          </w:r>
          <w:r>
            <w:instrText>page \* arabic</w:instrText>
          </w:r>
          <w:r>
            <w:fldChar w:fldCharType="separate"/>
          </w:r>
          <w:r w:rsidR="001436CE">
            <w:rPr>
              <w:noProof/>
            </w:rPr>
            <w:t>7</w:t>
          </w:r>
          <w:r>
            <w:fldChar w:fldCharType="end"/>
          </w:r>
          <w:r>
            <w:t xml:space="preserve"> of </w:t>
          </w:r>
          <w:r w:rsidR="00D12365">
            <w:t>7</w:t>
          </w:r>
        </w:p>
      </w:tc>
    </w:tr>
  </w:tbl>
  <w:p w:rsidR="0044231B" w:rsidRDefault="0044231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2365" w:rsidRDefault="00D123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7CAD" w:rsidRDefault="00F47CAD">
      <w:r>
        <w:separator/>
      </w:r>
    </w:p>
  </w:footnote>
  <w:footnote w:type="continuationSeparator" w:id="0">
    <w:p w:rsidR="00F47CAD" w:rsidRDefault="00F47C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2365" w:rsidRDefault="00D1236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2365" w:rsidRDefault="00D1236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2365" w:rsidRDefault="00D1236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FA3FBD"/>
    <w:multiLevelType w:val="singleLevel"/>
    <w:tmpl w:val="E48EA808"/>
    <w:lvl w:ilvl="0">
      <w:start w:val="1"/>
      <w:numFmt w:val="bullet"/>
      <w:pStyle w:val="Topic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1">
    <w:nsid w:val="06882D20"/>
    <w:multiLevelType w:val="hybridMultilevel"/>
    <w:tmpl w:val="C812F9E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522E34"/>
    <w:multiLevelType w:val="hybridMultilevel"/>
    <w:tmpl w:val="DC264F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9566FA"/>
    <w:multiLevelType w:val="hybridMultilevel"/>
    <w:tmpl w:val="FE2811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582D8F"/>
    <w:multiLevelType w:val="hybridMultilevel"/>
    <w:tmpl w:val="3E12CCB2"/>
    <w:lvl w:ilvl="0" w:tplc="E8A6D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8B5364"/>
    <w:multiLevelType w:val="singleLevel"/>
    <w:tmpl w:val="6C7A0482"/>
    <w:lvl w:ilvl="0">
      <w:start w:val="1"/>
      <w:numFmt w:val="decimal"/>
      <w:pStyle w:val="Number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6BF4D36"/>
    <w:multiLevelType w:val="hybridMultilevel"/>
    <w:tmpl w:val="B824BD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BFA00AD"/>
    <w:multiLevelType w:val="hybridMultilevel"/>
    <w:tmpl w:val="AFFE5066"/>
    <w:lvl w:ilvl="0" w:tplc="E8A6D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D7D6DA6"/>
    <w:multiLevelType w:val="multilevel"/>
    <w:tmpl w:val="74926F6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0F50D33"/>
    <w:multiLevelType w:val="singleLevel"/>
    <w:tmpl w:val="57B053E4"/>
    <w:lvl w:ilvl="0">
      <w:start w:val="1"/>
      <w:numFmt w:val="bullet"/>
      <w:pStyle w:val="Menu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270346E2"/>
    <w:multiLevelType w:val="hybridMultilevel"/>
    <w:tmpl w:val="0506F372"/>
    <w:lvl w:ilvl="0" w:tplc="FFFFFFF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1">
    <w:nsid w:val="27CD1BD1"/>
    <w:multiLevelType w:val="hybridMultilevel"/>
    <w:tmpl w:val="B2C6E63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2418B5"/>
    <w:multiLevelType w:val="hybridMultilevel"/>
    <w:tmpl w:val="63C025E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FB270AF"/>
    <w:multiLevelType w:val="hybridMultilevel"/>
    <w:tmpl w:val="8A1A9E2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2AC2DA2"/>
    <w:multiLevelType w:val="hybridMultilevel"/>
    <w:tmpl w:val="A8E4BF4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4BF44BD"/>
    <w:multiLevelType w:val="singleLevel"/>
    <w:tmpl w:val="24CCEEA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352C2A08"/>
    <w:multiLevelType w:val="hybridMultilevel"/>
    <w:tmpl w:val="4EDE0A28"/>
    <w:lvl w:ilvl="0" w:tplc="01AA49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DDA08B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89AED3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440CD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9E2C5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BCE363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AE274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BF652E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03A268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5792094"/>
    <w:multiLevelType w:val="hybridMultilevel"/>
    <w:tmpl w:val="E6E218C4"/>
    <w:lvl w:ilvl="0" w:tplc="08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7A021F5"/>
    <w:multiLevelType w:val="hybridMultilevel"/>
    <w:tmpl w:val="496038C4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80C703E"/>
    <w:multiLevelType w:val="hybridMultilevel"/>
    <w:tmpl w:val="81B475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B252D60"/>
    <w:multiLevelType w:val="hybridMultilevel"/>
    <w:tmpl w:val="FB688B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DF51CB0"/>
    <w:multiLevelType w:val="hybridMultilevel"/>
    <w:tmpl w:val="71D2F9F0"/>
    <w:lvl w:ilvl="0" w:tplc="7F601FA6">
      <w:numFmt w:val="bullet"/>
      <w:lvlText w:val=""/>
      <w:lvlJc w:val="left"/>
      <w:pPr>
        <w:ind w:left="1095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22">
    <w:nsid w:val="42D34F53"/>
    <w:multiLevelType w:val="singleLevel"/>
    <w:tmpl w:val="D00026AC"/>
    <w:lvl w:ilvl="0">
      <w:start w:val="1"/>
      <w:numFmt w:val="bullet"/>
      <w:pStyle w:val="TipNote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23">
    <w:nsid w:val="42FE3C1B"/>
    <w:multiLevelType w:val="hybridMultilevel"/>
    <w:tmpl w:val="D4FA3C1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35F5B3F"/>
    <w:multiLevelType w:val="hybridMultilevel"/>
    <w:tmpl w:val="670C9B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5255717"/>
    <w:multiLevelType w:val="hybridMultilevel"/>
    <w:tmpl w:val="9B8CFB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9DE12AD"/>
    <w:multiLevelType w:val="hybridMultilevel"/>
    <w:tmpl w:val="68D67276"/>
    <w:lvl w:ilvl="0" w:tplc="08B8F0C0">
      <w:start w:val="1"/>
      <w:numFmt w:val="decimalZero"/>
      <w:lvlText w:val="3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B5C3BF2"/>
    <w:multiLevelType w:val="hybridMultilevel"/>
    <w:tmpl w:val="F84C0BC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D242516"/>
    <w:multiLevelType w:val="hybridMultilevel"/>
    <w:tmpl w:val="D8B8C3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2F538CD"/>
    <w:multiLevelType w:val="singleLevel"/>
    <w:tmpl w:val="12964E6A"/>
    <w:lvl w:ilvl="0">
      <w:start w:val="1"/>
      <w:numFmt w:val="bullet"/>
      <w:pStyle w:val="Index3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>
    <w:nsid w:val="53425DEC"/>
    <w:multiLevelType w:val="hybridMultilevel"/>
    <w:tmpl w:val="C50E232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6D14E10"/>
    <w:multiLevelType w:val="hybridMultilevel"/>
    <w:tmpl w:val="188E73FE"/>
    <w:lvl w:ilvl="0" w:tplc="040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7186F26"/>
    <w:multiLevelType w:val="hybridMultilevel"/>
    <w:tmpl w:val="A98832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BB57BDB"/>
    <w:multiLevelType w:val="hybridMultilevel"/>
    <w:tmpl w:val="9A52D7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BE225DD"/>
    <w:multiLevelType w:val="hybridMultilevel"/>
    <w:tmpl w:val="7EF61B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0D06444"/>
    <w:multiLevelType w:val="singleLevel"/>
    <w:tmpl w:val="DE18C5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>
    <w:nsid w:val="68FB2144"/>
    <w:multiLevelType w:val="hybridMultilevel"/>
    <w:tmpl w:val="A7C81A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ADD631E"/>
    <w:multiLevelType w:val="hybridMultilevel"/>
    <w:tmpl w:val="FC084A3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F486F92"/>
    <w:multiLevelType w:val="hybridMultilevel"/>
    <w:tmpl w:val="1696F18E"/>
    <w:lvl w:ilvl="0" w:tplc="DA627A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27C445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7884E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ADAF2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90888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64260D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D88FF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CA69C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F78CE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F6F5645"/>
    <w:multiLevelType w:val="hybridMultilevel"/>
    <w:tmpl w:val="D3B41BA8"/>
    <w:lvl w:ilvl="0" w:tplc="A8DC82DC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0820E3D"/>
    <w:multiLevelType w:val="hybridMultilevel"/>
    <w:tmpl w:val="D8D4FBEE"/>
    <w:lvl w:ilvl="0" w:tplc="08090001">
      <w:start w:val="1"/>
      <w:numFmt w:val="bullet"/>
      <w:lvlText w:val=""/>
      <w:lvlJc w:val="left"/>
      <w:pPr>
        <w:tabs>
          <w:tab w:val="num" w:pos="835"/>
        </w:tabs>
        <w:ind w:left="83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555"/>
        </w:tabs>
        <w:ind w:left="15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75"/>
        </w:tabs>
        <w:ind w:left="22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95"/>
        </w:tabs>
        <w:ind w:left="29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715"/>
        </w:tabs>
        <w:ind w:left="37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435"/>
        </w:tabs>
        <w:ind w:left="44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55"/>
        </w:tabs>
        <w:ind w:left="51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75"/>
        </w:tabs>
        <w:ind w:left="58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95"/>
        </w:tabs>
        <w:ind w:left="6595" w:hanging="360"/>
      </w:pPr>
      <w:rPr>
        <w:rFonts w:ascii="Wingdings" w:hAnsi="Wingdings" w:hint="default"/>
      </w:rPr>
    </w:lvl>
  </w:abstractNum>
  <w:abstractNum w:abstractNumId="41">
    <w:nsid w:val="73CF1A43"/>
    <w:multiLevelType w:val="hybridMultilevel"/>
    <w:tmpl w:val="4E80F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46B7B01"/>
    <w:multiLevelType w:val="hybridMultilevel"/>
    <w:tmpl w:val="D9CE634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46F1780"/>
    <w:multiLevelType w:val="hybridMultilevel"/>
    <w:tmpl w:val="D988EE12"/>
    <w:lvl w:ilvl="0" w:tplc="6D667FD6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710798C"/>
    <w:multiLevelType w:val="hybridMultilevel"/>
    <w:tmpl w:val="6BC4AEA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83E448F"/>
    <w:multiLevelType w:val="singleLevel"/>
    <w:tmpl w:val="7BF617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6">
    <w:nsid w:val="78466D30"/>
    <w:multiLevelType w:val="hybridMultilevel"/>
    <w:tmpl w:val="C478BBD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78760D99"/>
    <w:multiLevelType w:val="hybridMultilevel"/>
    <w:tmpl w:val="A836B1F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940590C"/>
    <w:multiLevelType w:val="hybridMultilevel"/>
    <w:tmpl w:val="C89A79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E205CF8"/>
    <w:multiLevelType w:val="hybridMultilevel"/>
    <w:tmpl w:val="DB1687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35"/>
  </w:num>
  <w:num w:numId="3">
    <w:abstractNumId w:val="5"/>
  </w:num>
  <w:num w:numId="4">
    <w:abstractNumId w:val="9"/>
  </w:num>
  <w:num w:numId="5">
    <w:abstractNumId w:val="22"/>
  </w:num>
  <w:num w:numId="6">
    <w:abstractNumId w:val="0"/>
  </w:num>
  <w:num w:numId="7">
    <w:abstractNumId w:val="7"/>
  </w:num>
  <w:num w:numId="8">
    <w:abstractNumId w:val="38"/>
  </w:num>
  <w:num w:numId="9">
    <w:abstractNumId w:val="10"/>
  </w:num>
  <w:num w:numId="10">
    <w:abstractNumId w:val="16"/>
  </w:num>
  <w:num w:numId="11">
    <w:abstractNumId w:val="46"/>
  </w:num>
  <w:num w:numId="12">
    <w:abstractNumId w:val="23"/>
  </w:num>
  <w:num w:numId="13">
    <w:abstractNumId w:val="44"/>
  </w:num>
  <w:num w:numId="14">
    <w:abstractNumId w:val="40"/>
  </w:num>
  <w:num w:numId="15">
    <w:abstractNumId w:val="1"/>
  </w:num>
  <w:num w:numId="16">
    <w:abstractNumId w:val="13"/>
  </w:num>
  <w:num w:numId="17">
    <w:abstractNumId w:val="18"/>
  </w:num>
  <w:num w:numId="18">
    <w:abstractNumId w:val="27"/>
  </w:num>
  <w:num w:numId="19">
    <w:abstractNumId w:val="26"/>
  </w:num>
  <w:num w:numId="20">
    <w:abstractNumId w:val="14"/>
  </w:num>
  <w:num w:numId="21">
    <w:abstractNumId w:val="12"/>
  </w:num>
  <w:num w:numId="22">
    <w:abstractNumId w:val="31"/>
  </w:num>
  <w:num w:numId="23">
    <w:abstractNumId w:val="34"/>
  </w:num>
  <w:num w:numId="24">
    <w:abstractNumId w:val="37"/>
  </w:num>
  <w:num w:numId="25">
    <w:abstractNumId w:val="8"/>
  </w:num>
  <w:num w:numId="26">
    <w:abstractNumId w:val="20"/>
  </w:num>
  <w:num w:numId="27">
    <w:abstractNumId w:val="6"/>
  </w:num>
  <w:num w:numId="28">
    <w:abstractNumId w:val="25"/>
  </w:num>
  <w:num w:numId="29">
    <w:abstractNumId w:val="43"/>
  </w:num>
  <w:num w:numId="30">
    <w:abstractNumId w:val="39"/>
  </w:num>
  <w:num w:numId="31">
    <w:abstractNumId w:val="15"/>
  </w:num>
  <w:num w:numId="32">
    <w:abstractNumId w:val="3"/>
  </w:num>
  <w:num w:numId="33">
    <w:abstractNumId w:val="29"/>
  </w:num>
  <w:num w:numId="34">
    <w:abstractNumId w:val="24"/>
  </w:num>
  <w:num w:numId="35">
    <w:abstractNumId w:val="28"/>
  </w:num>
  <w:num w:numId="36">
    <w:abstractNumId w:val="2"/>
  </w:num>
  <w:num w:numId="37">
    <w:abstractNumId w:val="11"/>
  </w:num>
  <w:num w:numId="38">
    <w:abstractNumId w:val="41"/>
  </w:num>
  <w:num w:numId="39">
    <w:abstractNumId w:val="17"/>
  </w:num>
  <w:num w:numId="40">
    <w:abstractNumId w:val="36"/>
  </w:num>
  <w:num w:numId="41">
    <w:abstractNumId w:val="33"/>
  </w:num>
  <w:num w:numId="42">
    <w:abstractNumId w:val="30"/>
  </w:num>
  <w:num w:numId="43">
    <w:abstractNumId w:val="42"/>
  </w:num>
  <w:num w:numId="44">
    <w:abstractNumId w:val="19"/>
  </w:num>
  <w:num w:numId="45">
    <w:abstractNumId w:val="32"/>
  </w:num>
  <w:num w:numId="46">
    <w:abstractNumId w:val="49"/>
  </w:num>
  <w:num w:numId="47">
    <w:abstractNumId w:val="4"/>
  </w:num>
  <w:num w:numId="48">
    <w:abstractNumId w:val="21"/>
  </w:num>
  <w:num w:numId="49">
    <w:abstractNumId w:val="47"/>
  </w:num>
  <w:num w:numId="50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EAA"/>
    <w:rsid w:val="000047DF"/>
    <w:rsid w:val="000073EC"/>
    <w:rsid w:val="0001218B"/>
    <w:rsid w:val="00012AC1"/>
    <w:rsid w:val="0001377E"/>
    <w:rsid w:val="00023FC7"/>
    <w:rsid w:val="00025064"/>
    <w:rsid w:val="00025361"/>
    <w:rsid w:val="00025D90"/>
    <w:rsid w:val="00032EB9"/>
    <w:rsid w:val="000330B0"/>
    <w:rsid w:val="0003379F"/>
    <w:rsid w:val="00034CE0"/>
    <w:rsid w:val="00036C80"/>
    <w:rsid w:val="00043E4D"/>
    <w:rsid w:val="0004455F"/>
    <w:rsid w:val="000449EB"/>
    <w:rsid w:val="00044EB7"/>
    <w:rsid w:val="00044FDD"/>
    <w:rsid w:val="000453DD"/>
    <w:rsid w:val="00047207"/>
    <w:rsid w:val="000478F9"/>
    <w:rsid w:val="00047E18"/>
    <w:rsid w:val="000500B3"/>
    <w:rsid w:val="00050841"/>
    <w:rsid w:val="00051139"/>
    <w:rsid w:val="0005114A"/>
    <w:rsid w:val="00062E31"/>
    <w:rsid w:val="00073168"/>
    <w:rsid w:val="0007487D"/>
    <w:rsid w:val="00082170"/>
    <w:rsid w:val="0008237E"/>
    <w:rsid w:val="000872C7"/>
    <w:rsid w:val="00090CE8"/>
    <w:rsid w:val="00091573"/>
    <w:rsid w:val="0009382C"/>
    <w:rsid w:val="00093D4C"/>
    <w:rsid w:val="00096219"/>
    <w:rsid w:val="00096CEF"/>
    <w:rsid w:val="000A0994"/>
    <w:rsid w:val="000A0C78"/>
    <w:rsid w:val="000A59EB"/>
    <w:rsid w:val="000A636F"/>
    <w:rsid w:val="000A6BA0"/>
    <w:rsid w:val="000B203A"/>
    <w:rsid w:val="000B285E"/>
    <w:rsid w:val="000C07A7"/>
    <w:rsid w:val="000C6321"/>
    <w:rsid w:val="000D08D3"/>
    <w:rsid w:val="000D1EF0"/>
    <w:rsid w:val="000D42F4"/>
    <w:rsid w:val="000D4B0F"/>
    <w:rsid w:val="000D6080"/>
    <w:rsid w:val="000D7008"/>
    <w:rsid w:val="000E0D54"/>
    <w:rsid w:val="000E175D"/>
    <w:rsid w:val="000E7C59"/>
    <w:rsid w:val="000F0664"/>
    <w:rsid w:val="000F36D1"/>
    <w:rsid w:val="000F73B3"/>
    <w:rsid w:val="0010221A"/>
    <w:rsid w:val="001025D2"/>
    <w:rsid w:val="001028F0"/>
    <w:rsid w:val="00104622"/>
    <w:rsid w:val="00104931"/>
    <w:rsid w:val="00105304"/>
    <w:rsid w:val="001067A9"/>
    <w:rsid w:val="00112229"/>
    <w:rsid w:val="00115847"/>
    <w:rsid w:val="00117AD3"/>
    <w:rsid w:val="00117B13"/>
    <w:rsid w:val="001225DB"/>
    <w:rsid w:val="00130215"/>
    <w:rsid w:val="0013433A"/>
    <w:rsid w:val="001345C5"/>
    <w:rsid w:val="00135D27"/>
    <w:rsid w:val="001364DC"/>
    <w:rsid w:val="00141048"/>
    <w:rsid w:val="00141639"/>
    <w:rsid w:val="001436CE"/>
    <w:rsid w:val="00146E58"/>
    <w:rsid w:val="0015025F"/>
    <w:rsid w:val="00150861"/>
    <w:rsid w:val="0015352D"/>
    <w:rsid w:val="00156158"/>
    <w:rsid w:val="00156A17"/>
    <w:rsid w:val="00157051"/>
    <w:rsid w:val="00162350"/>
    <w:rsid w:val="00162A10"/>
    <w:rsid w:val="00163FE2"/>
    <w:rsid w:val="00165525"/>
    <w:rsid w:val="00172E6A"/>
    <w:rsid w:val="00174947"/>
    <w:rsid w:val="00175013"/>
    <w:rsid w:val="0018025B"/>
    <w:rsid w:val="00180883"/>
    <w:rsid w:val="00180C72"/>
    <w:rsid w:val="00182425"/>
    <w:rsid w:val="00183EFD"/>
    <w:rsid w:val="00184404"/>
    <w:rsid w:val="0018586A"/>
    <w:rsid w:val="0018630E"/>
    <w:rsid w:val="001864EE"/>
    <w:rsid w:val="0019026D"/>
    <w:rsid w:val="00190C77"/>
    <w:rsid w:val="001947E8"/>
    <w:rsid w:val="00196DAC"/>
    <w:rsid w:val="001A010F"/>
    <w:rsid w:val="001A061F"/>
    <w:rsid w:val="001A0907"/>
    <w:rsid w:val="001A0998"/>
    <w:rsid w:val="001A1110"/>
    <w:rsid w:val="001B1EFD"/>
    <w:rsid w:val="001B20E7"/>
    <w:rsid w:val="001B2A16"/>
    <w:rsid w:val="001B49BE"/>
    <w:rsid w:val="001B68D2"/>
    <w:rsid w:val="001B6904"/>
    <w:rsid w:val="001B73D5"/>
    <w:rsid w:val="001C005A"/>
    <w:rsid w:val="001C07E7"/>
    <w:rsid w:val="001C137E"/>
    <w:rsid w:val="001C5D56"/>
    <w:rsid w:val="001C778F"/>
    <w:rsid w:val="001D5835"/>
    <w:rsid w:val="001E117F"/>
    <w:rsid w:val="001E3C7D"/>
    <w:rsid w:val="001E4A84"/>
    <w:rsid w:val="001F0552"/>
    <w:rsid w:val="001F120F"/>
    <w:rsid w:val="001F1E6B"/>
    <w:rsid w:val="001F29BB"/>
    <w:rsid w:val="001F3008"/>
    <w:rsid w:val="001F55CF"/>
    <w:rsid w:val="0020036B"/>
    <w:rsid w:val="00201124"/>
    <w:rsid w:val="00206BB7"/>
    <w:rsid w:val="0021010F"/>
    <w:rsid w:val="002135DA"/>
    <w:rsid w:val="002138D9"/>
    <w:rsid w:val="0021418D"/>
    <w:rsid w:val="00214753"/>
    <w:rsid w:val="00216282"/>
    <w:rsid w:val="00216BBF"/>
    <w:rsid w:val="00223371"/>
    <w:rsid w:val="00223D6E"/>
    <w:rsid w:val="00224E66"/>
    <w:rsid w:val="00227578"/>
    <w:rsid w:val="002329B7"/>
    <w:rsid w:val="00242658"/>
    <w:rsid w:val="002439CB"/>
    <w:rsid w:val="00245F2A"/>
    <w:rsid w:val="00247C72"/>
    <w:rsid w:val="00247DEE"/>
    <w:rsid w:val="00256BFA"/>
    <w:rsid w:val="00257D91"/>
    <w:rsid w:val="002645B8"/>
    <w:rsid w:val="002717A1"/>
    <w:rsid w:val="00271EE7"/>
    <w:rsid w:val="00272748"/>
    <w:rsid w:val="00272D06"/>
    <w:rsid w:val="00274850"/>
    <w:rsid w:val="0028140B"/>
    <w:rsid w:val="002818D4"/>
    <w:rsid w:val="00281936"/>
    <w:rsid w:val="0028428D"/>
    <w:rsid w:val="00285A8A"/>
    <w:rsid w:val="00287BDA"/>
    <w:rsid w:val="00290958"/>
    <w:rsid w:val="00290FF1"/>
    <w:rsid w:val="00291D9A"/>
    <w:rsid w:val="00293163"/>
    <w:rsid w:val="00293243"/>
    <w:rsid w:val="00294B6F"/>
    <w:rsid w:val="00295A07"/>
    <w:rsid w:val="00297982"/>
    <w:rsid w:val="002B2087"/>
    <w:rsid w:val="002B380D"/>
    <w:rsid w:val="002B4200"/>
    <w:rsid w:val="002B547C"/>
    <w:rsid w:val="002B5C9F"/>
    <w:rsid w:val="002B77AA"/>
    <w:rsid w:val="002B7A50"/>
    <w:rsid w:val="002C08A5"/>
    <w:rsid w:val="002C0F4D"/>
    <w:rsid w:val="002C224F"/>
    <w:rsid w:val="002C5688"/>
    <w:rsid w:val="002C75DF"/>
    <w:rsid w:val="002D06E4"/>
    <w:rsid w:val="002D35E0"/>
    <w:rsid w:val="002D4C8E"/>
    <w:rsid w:val="002E16A3"/>
    <w:rsid w:val="002E4E3C"/>
    <w:rsid w:val="002E7800"/>
    <w:rsid w:val="002F110D"/>
    <w:rsid w:val="002F17EE"/>
    <w:rsid w:val="002F3973"/>
    <w:rsid w:val="002F448F"/>
    <w:rsid w:val="002F70BF"/>
    <w:rsid w:val="00303364"/>
    <w:rsid w:val="00306629"/>
    <w:rsid w:val="0030732F"/>
    <w:rsid w:val="0031343C"/>
    <w:rsid w:val="00313ED0"/>
    <w:rsid w:val="0031467A"/>
    <w:rsid w:val="003153BF"/>
    <w:rsid w:val="00315968"/>
    <w:rsid w:val="0032115F"/>
    <w:rsid w:val="00321CE8"/>
    <w:rsid w:val="00322E8A"/>
    <w:rsid w:val="00324BD2"/>
    <w:rsid w:val="0032528B"/>
    <w:rsid w:val="00325757"/>
    <w:rsid w:val="0033019E"/>
    <w:rsid w:val="003310C5"/>
    <w:rsid w:val="00331E9F"/>
    <w:rsid w:val="003334A5"/>
    <w:rsid w:val="00335F00"/>
    <w:rsid w:val="00337AE5"/>
    <w:rsid w:val="00337D85"/>
    <w:rsid w:val="00341E76"/>
    <w:rsid w:val="003449DC"/>
    <w:rsid w:val="00344EE8"/>
    <w:rsid w:val="00345290"/>
    <w:rsid w:val="00345651"/>
    <w:rsid w:val="003528C7"/>
    <w:rsid w:val="00353B86"/>
    <w:rsid w:val="003570EB"/>
    <w:rsid w:val="0036103A"/>
    <w:rsid w:val="003625FB"/>
    <w:rsid w:val="00362FD2"/>
    <w:rsid w:val="00364F24"/>
    <w:rsid w:val="0036784D"/>
    <w:rsid w:val="00373564"/>
    <w:rsid w:val="00373713"/>
    <w:rsid w:val="0037390F"/>
    <w:rsid w:val="0037750B"/>
    <w:rsid w:val="00380C41"/>
    <w:rsid w:val="00380CDF"/>
    <w:rsid w:val="00381652"/>
    <w:rsid w:val="003826B2"/>
    <w:rsid w:val="00382908"/>
    <w:rsid w:val="00382933"/>
    <w:rsid w:val="0038368F"/>
    <w:rsid w:val="00384335"/>
    <w:rsid w:val="00386B8D"/>
    <w:rsid w:val="0039028D"/>
    <w:rsid w:val="00390A6C"/>
    <w:rsid w:val="00396E00"/>
    <w:rsid w:val="003A20EF"/>
    <w:rsid w:val="003A2E65"/>
    <w:rsid w:val="003A5D06"/>
    <w:rsid w:val="003A7CEA"/>
    <w:rsid w:val="003B1C02"/>
    <w:rsid w:val="003B1C8B"/>
    <w:rsid w:val="003B4045"/>
    <w:rsid w:val="003B47F5"/>
    <w:rsid w:val="003B6931"/>
    <w:rsid w:val="003C2B2D"/>
    <w:rsid w:val="003C2E87"/>
    <w:rsid w:val="003C4B9A"/>
    <w:rsid w:val="003C5670"/>
    <w:rsid w:val="003C741C"/>
    <w:rsid w:val="003C7693"/>
    <w:rsid w:val="003D03F8"/>
    <w:rsid w:val="003D2459"/>
    <w:rsid w:val="003D2EA5"/>
    <w:rsid w:val="003D3317"/>
    <w:rsid w:val="003D45BD"/>
    <w:rsid w:val="003E0C5D"/>
    <w:rsid w:val="003E3B70"/>
    <w:rsid w:val="003F5046"/>
    <w:rsid w:val="003F559A"/>
    <w:rsid w:val="004009FF"/>
    <w:rsid w:val="004021AF"/>
    <w:rsid w:val="0040627C"/>
    <w:rsid w:val="004064A2"/>
    <w:rsid w:val="0040769F"/>
    <w:rsid w:val="00411772"/>
    <w:rsid w:val="004134AD"/>
    <w:rsid w:val="00416435"/>
    <w:rsid w:val="0041693C"/>
    <w:rsid w:val="004179F7"/>
    <w:rsid w:val="004209DA"/>
    <w:rsid w:val="00420B5A"/>
    <w:rsid w:val="00422BCA"/>
    <w:rsid w:val="00425F53"/>
    <w:rsid w:val="004301A0"/>
    <w:rsid w:val="004303E4"/>
    <w:rsid w:val="0043056F"/>
    <w:rsid w:val="0043088F"/>
    <w:rsid w:val="004310EF"/>
    <w:rsid w:val="0043124E"/>
    <w:rsid w:val="00432B9E"/>
    <w:rsid w:val="0043345D"/>
    <w:rsid w:val="00437B8F"/>
    <w:rsid w:val="004420D7"/>
    <w:rsid w:val="0044231B"/>
    <w:rsid w:val="00446516"/>
    <w:rsid w:val="00446FBF"/>
    <w:rsid w:val="004534C3"/>
    <w:rsid w:val="00453B73"/>
    <w:rsid w:val="00460ECF"/>
    <w:rsid w:val="00462CF9"/>
    <w:rsid w:val="004639A2"/>
    <w:rsid w:val="00465136"/>
    <w:rsid w:val="00465820"/>
    <w:rsid w:val="004700A3"/>
    <w:rsid w:val="004701AC"/>
    <w:rsid w:val="00474336"/>
    <w:rsid w:val="00483B82"/>
    <w:rsid w:val="00485CA5"/>
    <w:rsid w:val="004911DF"/>
    <w:rsid w:val="004927A8"/>
    <w:rsid w:val="00492A7A"/>
    <w:rsid w:val="00492FF5"/>
    <w:rsid w:val="004952E3"/>
    <w:rsid w:val="004968AB"/>
    <w:rsid w:val="004970FA"/>
    <w:rsid w:val="004978F6"/>
    <w:rsid w:val="004A386D"/>
    <w:rsid w:val="004B0191"/>
    <w:rsid w:val="004B1244"/>
    <w:rsid w:val="004B16F0"/>
    <w:rsid w:val="004B4136"/>
    <w:rsid w:val="004B4A42"/>
    <w:rsid w:val="004B6ACD"/>
    <w:rsid w:val="004B6D22"/>
    <w:rsid w:val="004B7172"/>
    <w:rsid w:val="004B7929"/>
    <w:rsid w:val="004C1479"/>
    <w:rsid w:val="004C2982"/>
    <w:rsid w:val="004C7B7E"/>
    <w:rsid w:val="004D6C7F"/>
    <w:rsid w:val="004E00CF"/>
    <w:rsid w:val="004E176C"/>
    <w:rsid w:val="004E305B"/>
    <w:rsid w:val="004E477C"/>
    <w:rsid w:val="004E5C2B"/>
    <w:rsid w:val="004E7448"/>
    <w:rsid w:val="004F3920"/>
    <w:rsid w:val="004F4B1C"/>
    <w:rsid w:val="004F59B7"/>
    <w:rsid w:val="004F6605"/>
    <w:rsid w:val="004F72E2"/>
    <w:rsid w:val="004F7428"/>
    <w:rsid w:val="00500FF4"/>
    <w:rsid w:val="005013F2"/>
    <w:rsid w:val="00502052"/>
    <w:rsid w:val="00502836"/>
    <w:rsid w:val="00502ABB"/>
    <w:rsid w:val="00505D98"/>
    <w:rsid w:val="00506C67"/>
    <w:rsid w:val="00507EE9"/>
    <w:rsid w:val="005115D8"/>
    <w:rsid w:val="00512847"/>
    <w:rsid w:val="00513517"/>
    <w:rsid w:val="00513A7C"/>
    <w:rsid w:val="00513E49"/>
    <w:rsid w:val="00515BF5"/>
    <w:rsid w:val="0051747F"/>
    <w:rsid w:val="005174F5"/>
    <w:rsid w:val="00517785"/>
    <w:rsid w:val="00517D0E"/>
    <w:rsid w:val="00520D24"/>
    <w:rsid w:val="00521769"/>
    <w:rsid w:val="0052567B"/>
    <w:rsid w:val="005315CD"/>
    <w:rsid w:val="00531BF7"/>
    <w:rsid w:val="00534930"/>
    <w:rsid w:val="005352D5"/>
    <w:rsid w:val="00535E81"/>
    <w:rsid w:val="00537677"/>
    <w:rsid w:val="00541752"/>
    <w:rsid w:val="0054299A"/>
    <w:rsid w:val="00543518"/>
    <w:rsid w:val="00543D92"/>
    <w:rsid w:val="005448CA"/>
    <w:rsid w:val="005452C6"/>
    <w:rsid w:val="00550446"/>
    <w:rsid w:val="00550A8C"/>
    <w:rsid w:val="00552353"/>
    <w:rsid w:val="00554213"/>
    <w:rsid w:val="0055429B"/>
    <w:rsid w:val="00555369"/>
    <w:rsid w:val="00556FE5"/>
    <w:rsid w:val="00560141"/>
    <w:rsid w:val="005604AF"/>
    <w:rsid w:val="005614F5"/>
    <w:rsid w:val="00562D47"/>
    <w:rsid w:val="00564302"/>
    <w:rsid w:val="00564A08"/>
    <w:rsid w:val="005664F2"/>
    <w:rsid w:val="00570389"/>
    <w:rsid w:val="005707CD"/>
    <w:rsid w:val="005724C3"/>
    <w:rsid w:val="0057298F"/>
    <w:rsid w:val="0057390A"/>
    <w:rsid w:val="00576EE9"/>
    <w:rsid w:val="00581CF4"/>
    <w:rsid w:val="00582537"/>
    <w:rsid w:val="00584577"/>
    <w:rsid w:val="0058520C"/>
    <w:rsid w:val="00585B3A"/>
    <w:rsid w:val="00585B59"/>
    <w:rsid w:val="005873E5"/>
    <w:rsid w:val="00587F61"/>
    <w:rsid w:val="00590045"/>
    <w:rsid w:val="005917EB"/>
    <w:rsid w:val="0059363B"/>
    <w:rsid w:val="00594EA3"/>
    <w:rsid w:val="00596187"/>
    <w:rsid w:val="005A2195"/>
    <w:rsid w:val="005A48C1"/>
    <w:rsid w:val="005A5F49"/>
    <w:rsid w:val="005A63AC"/>
    <w:rsid w:val="005A694E"/>
    <w:rsid w:val="005A737E"/>
    <w:rsid w:val="005B63FC"/>
    <w:rsid w:val="005C0734"/>
    <w:rsid w:val="005C1CB0"/>
    <w:rsid w:val="005C3719"/>
    <w:rsid w:val="005C37AE"/>
    <w:rsid w:val="005D00EC"/>
    <w:rsid w:val="005D349B"/>
    <w:rsid w:val="005D4EE1"/>
    <w:rsid w:val="005D5AE7"/>
    <w:rsid w:val="005D5C93"/>
    <w:rsid w:val="005D75EC"/>
    <w:rsid w:val="005E2330"/>
    <w:rsid w:val="005E281D"/>
    <w:rsid w:val="005E3B8F"/>
    <w:rsid w:val="005E4EED"/>
    <w:rsid w:val="005E6FE0"/>
    <w:rsid w:val="005F07C6"/>
    <w:rsid w:val="005F10EF"/>
    <w:rsid w:val="005F574C"/>
    <w:rsid w:val="00600966"/>
    <w:rsid w:val="00600F81"/>
    <w:rsid w:val="006057F5"/>
    <w:rsid w:val="00615AAD"/>
    <w:rsid w:val="006172DF"/>
    <w:rsid w:val="006176D7"/>
    <w:rsid w:val="006220FA"/>
    <w:rsid w:val="0063168C"/>
    <w:rsid w:val="006349A5"/>
    <w:rsid w:val="00636BA6"/>
    <w:rsid w:val="00645CE3"/>
    <w:rsid w:val="00652B5F"/>
    <w:rsid w:val="00653501"/>
    <w:rsid w:val="00661BC7"/>
    <w:rsid w:val="00662867"/>
    <w:rsid w:val="00672788"/>
    <w:rsid w:val="00673194"/>
    <w:rsid w:val="00673356"/>
    <w:rsid w:val="00680723"/>
    <w:rsid w:val="00681336"/>
    <w:rsid w:val="00682E01"/>
    <w:rsid w:val="00684302"/>
    <w:rsid w:val="00685A71"/>
    <w:rsid w:val="00690F92"/>
    <w:rsid w:val="00691E74"/>
    <w:rsid w:val="006945B0"/>
    <w:rsid w:val="006979A3"/>
    <w:rsid w:val="006A0259"/>
    <w:rsid w:val="006A0636"/>
    <w:rsid w:val="006A428F"/>
    <w:rsid w:val="006A47DA"/>
    <w:rsid w:val="006A7E3D"/>
    <w:rsid w:val="006B16ED"/>
    <w:rsid w:val="006B30AA"/>
    <w:rsid w:val="006B343A"/>
    <w:rsid w:val="006B7E69"/>
    <w:rsid w:val="006C6C29"/>
    <w:rsid w:val="006C6EB9"/>
    <w:rsid w:val="006C74DD"/>
    <w:rsid w:val="006C7D77"/>
    <w:rsid w:val="006D139A"/>
    <w:rsid w:val="006D1655"/>
    <w:rsid w:val="006D2F16"/>
    <w:rsid w:val="006D314B"/>
    <w:rsid w:val="006D33E3"/>
    <w:rsid w:val="006D5FAE"/>
    <w:rsid w:val="006D653B"/>
    <w:rsid w:val="006D79DA"/>
    <w:rsid w:val="006E0213"/>
    <w:rsid w:val="006E7113"/>
    <w:rsid w:val="006E7E88"/>
    <w:rsid w:val="006F26E2"/>
    <w:rsid w:val="006F4B7F"/>
    <w:rsid w:val="0070175B"/>
    <w:rsid w:val="0070318E"/>
    <w:rsid w:val="00703C2F"/>
    <w:rsid w:val="00704DCD"/>
    <w:rsid w:val="0070512F"/>
    <w:rsid w:val="00710AB2"/>
    <w:rsid w:val="00710F70"/>
    <w:rsid w:val="007127CE"/>
    <w:rsid w:val="007152E5"/>
    <w:rsid w:val="0072139B"/>
    <w:rsid w:val="00722423"/>
    <w:rsid w:val="00722D7A"/>
    <w:rsid w:val="00725A62"/>
    <w:rsid w:val="00727C70"/>
    <w:rsid w:val="007301F7"/>
    <w:rsid w:val="00735F86"/>
    <w:rsid w:val="007363A7"/>
    <w:rsid w:val="007402E3"/>
    <w:rsid w:val="0074284A"/>
    <w:rsid w:val="0075217A"/>
    <w:rsid w:val="007523D6"/>
    <w:rsid w:val="00755451"/>
    <w:rsid w:val="007571D4"/>
    <w:rsid w:val="00762C55"/>
    <w:rsid w:val="00766D26"/>
    <w:rsid w:val="00771A86"/>
    <w:rsid w:val="00771EF0"/>
    <w:rsid w:val="00773B37"/>
    <w:rsid w:val="007755FC"/>
    <w:rsid w:val="00775AEC"/>
    <w:rsid w:val="007777A6"/>
    <w:rsid w:val="0078000D"/>
    <w:rsid w:val="00785689"/>
    <w:rsid w:val="00785CDB"/>
    <w:rsid w:val="00786459"/>
    <w:rsid w:val="007912BE"/>
    <w:rsid w:val="0079521B"/>
    <w:rsid w:val="007A02F8"/>
    <w:rsid w:val="007A50D4"/>
    <w:rsid w:val="007A7521"/>
    <w:rsid w:val="007A75E4"/>
    <w:rsid w:val="007B28B8"/>
    <w:rsid w:val="007B4AFA"/>
    <w:rsid w:val="007B5CF0"/>
    <w:rsid w:val="007B76CD"/>
    <w:rsid w:val="007B7BCB"/>
    <w:rsid w:val="007C0FC8"/>
    <w:rsid w:val="007C5834"/>
    <w:rsid w:val="007D1CAD"/>
    <w:rsid w:val="007D3F96"/>
    <w:rsid w:val="007D735B"/>
    <w:rsid w:val="007E0E63"/>
    <w:rsid w:val="007E190D"/>
    <w:rsid w:val="007E2C1B"/>
    <w:rsid w:val="007E3A95"/>
    <w:rsid w:val="007E645C"/>
    <w:rsid w:val="007E673C"/>
    <w:rsid w:val="007F068F"/>
    <w:rsid w:val="007F112A"/>
    <w:rsid w:val="00801BE0"/>
    <w:rsid w:val="008020B4"/>
    <w:rsid w:val="00803790"/>
    <w:rsid w:val="0080436E"/>
    <w:rsid w:val="00806FD7"/>
    <w:rsid w:val="00810116"/>
    <w:rsid w:val="0081055C"/>
    <w:rsid w:val="00820051"/>
    <w:rsid w:val="00820977"/>
    <w:rsid w:val="008227B1"/>
    <w:rsid w:val="00823C9F"/>
    <w:rsid w:val="00825452"/>
    <w:rsid w:val="0082596A"/>
    <w:rsid w:val="00825A64"/>
    <w:rsid w:val="00834679"/>
    <w:rsid w:val="00835691"/>
    <w:rsid w:val="0083668C"/>
    <w:rsid w:val="008419F1"/>
    <w:rsid w:val="0084283C"/>
    <w:rsid w:val="008442D6"/>
    <w:rsid w:val="00845531"/>
    <w:rsid w:val="00846F1F"/>
    <w:rsid w:val="008512AE"/>
    <w:rsid w:val="0085184D"/>
    <w:rsid w:val="00854E88"/>
    <w:rsid w:val="00855980"/>
    <w:rsid w:val="008559D3"/>
    <w:rsid w:val="0086354C"/>
    <w:rsid w:val="0086373A"/>
    <w:rsid w:val="00863D14"/>
    <w:rsid w:val="00866DF2"/>
    <w:rsid w:val="00870E9F"/>
    <w:rsid w:val="00870EBB"/>
    <w:rsid w:val="00871FA0"/>
    <w:rsid w:val="008723F0"/>
    <w:rsid w:val="008758B4"/>
    <w:rsid w:val="00876413"/>
    <w:rsid w:val="00880018"/>
    <w:rsid w:val="0088138F"/>
    <w:rsid w:val="00881762"/>
    <w:rsid w:val="00882AA9"/>
    <w:rsid w:val="008832C3"/>
    <w:rsid w:val="00890B1D"/>
    <w:rsid w:val="00891D57"/>
    <w:rsid w:val="00892E7F"/>
    <w:rsid w:val="00893BFD"/>
    <w:rsid w:val="008955D5"/>
    <w:rsid w:val="00895ACC"/>
    <w:rsid w:val="008A0DCA"/>
    <w:rsid w:val="008A347E"/>
    <w:rsid w:val="008A5182"/>
    <w:rsid w:val="008A77AB"/>
    <w:rsid w:val="008B1936"/>
    <w:rsid w:val="008B4147"/>
    <w:rsid w:val="008C0565"/>
    <w:rsid w:val="008C06B2"/>
    <w:rsid w:val="008C06E4"/>
    <w:rsid w:val="008C3DCC"/>
    <w:rsid w:val="008C4302"/>
    <w:rsid w:val="008C7525"/>
    <w:rsid w:val="008D4562"/>
    <w:rsid w:val="008D6A16"/>
    <w:rsid w:val="008D7F72"/>
    <w:rsid w:val="008E1A91"/>
    <w:rsid w:val="008E307D"/>
    <w:rsid w:val="008E46E3"/>
    <w:rsid w:val="008E645B"/>
    <w:rsid w:val="008E7B3D"/>
    <w:rsid w:val="008E7DCF"/>
    <w:rsid w:val="008F0036"/>
    <w:rsid w:val="008F2282"/>
    <w:rsid w:val="008F5DE7"/>
    <w:rsid w:val="008F6ADA"/>
    <w:rsid w:val="008F6C2E"/>
    <w:rsid w:val="008F7D44"/>
    <w:rsid w:val="009022F1"/>
    <w:rsid w:val="0091070B"/>
    <w:rsid w:val="00910F5C"/>
    <w:rsid w:val="009125E8"/>
    <w:rsid w:val="0091432B"/>
    <w:rsid w:val="00916652"/>
    <w:rsid w:val="00920458"/>
    <w:rsid w:val="00920767"/>
    <w:rsid w:val="00920BB9"/>
    <w:rsid w:val="00921280"/>
    <w:rsid w:val="00922140"/>
    <w:rsid w:val="00923DE0"/>
    <w:rsid w:val="00927E89"/>
    <w:rsid w:val="009330CB"/>
    <w:rsid w:val="009332F6"/>
    <w:rsid w:val="00935789"/>
    <w:rsid w:val="0093627F"/>
    <w:rsid w:val="00936898"/>
    <w:rsid w:val="00936E0B"/>
    <w:rsid w:val="00937B8A"/>
    <w:rsid w:val="00940AFF"/>
    <w:rsid w:val="00941BAE"/>
    <w:rsid w:val="0094215D"/>
    <w:rsid w:val="009445B2"/>
    <w:rsid w:val="00944B79"/>
    <w:rsid w:val="00945882"/>
    <w:rsid w:val="009502C1"/>
    <w:rsid w:val="009506B0"/>
    <w:rsid w:val="00953D2D"/>
    <w:rsid w:val="0095459A"/>
    <w:rsid w:val="00961181"/>
    <w:rsid w:val="0096119F"/>
    <w:rsid w:val="009675C7"/>
    <w:rsid w:val="009707C1"/>
    <w:rsid w:val="00973062"/>
    <w:rsid w:val="00973621"/>
    <w:rsid w:val="009746E5"/>
    <w:rsid w:val="009837A5"/>
    <w:rsid w:val="009837BB"/>
    <w:rsid w:val="00984397"/>
    <w:rsid w:val="0098491A"/>
    <w:rsid w:val="009858B6"/>
    <w:rsid w:val="0098705E"/>
    <w:rsid w:val="009905A7"/>
    <w:rsid w:val="0099272E"/>
    <w:rsid w:val="00993CAF"/>
    <w:rsid w:val="00995560"/>
    <w:rsid w:val="0099677F"/>
    <w:rsid w:val="009A154F"/>
    <w:rsid w:val="009A5317"/>
    <w:rsid w:val="009A5DDC"/>
    <w:rsid w:val="009A6621"/>
    <w:rsid w:val="009B2A02"/>
    <w:rsid w:val="009B47EF"/>
    <w:rsid w:val="009C6FC6"/>
    <w:rsid w:val="009C7466"/>
    <w:rsid w:val="009C7E4D"/>
    <w:rsid w:val="009D395B"/>
    <w:rsid w:val="009D5A74"/>
    <w:rsid w:val="009D6312"/>
    <w:rsid w:val="009E32D2"/>
    <w:rsid w:val="009E4060"/>
    <w:rsid w:val="009E528A"/>
    <w:rsid w:val="009F0451"/>
    <w:rsid w:val="009F3D0B"/>
    <w:rsid w:val="009F3D23"/>
    <w:rsid w:val="009F44CC"/>
    <w:rsid w:val="009F50CC"/>
    <w:rsid w:val="00A0076E"/>
    <w:rsid w:val="00A04635"/>
    <w:rsid w:val="00A07B36"/>
    <w:rsid w:val="00A106E7"/>
    <w:rsid w:val="00A11056"/>
    <w:rsid w:val="00A14EC5"/>
    <w:rsid w:val="00A159A0"/>
    <w:rsid w:val="00A15F11"/>
    <w:rsid w:val="00A15FEE"/>
    <w:rsid w:val="00A20720"/>
    <w:rsid w:val="00A2379D"/>
    <w:rsid w:val="00A2573D"/>
    <w:rsid w:val="00A26B05"/>
    <w:rsid w:val="00A36926"/>
    <w:rsid w:val="00A41985"/>
    <w:rsid w:val="00A41F2B"/>
    <w:rsid w:val="00A4278A"/>
    <w:rsid w:val="00A43BE5"/>
    <w:rsid w:val="00A43BE7"/>
    <w:rsid w:val="00A448DA"/>
    <w:rsid w:val="00A47F3C"/>
    <w:rsid w:val="00A5008F"/>
    <w:rsid w:val="00A509CF"/>
    <w:rsid w:val="00A50D75"/>
    <w:rsid w:val="00A517AD"/>
    <w:rsid w:val="00A57661"/>
    <w:rsid w:val="00A61F5E"/>
    <w:rsid w:val="00A61FAA"/>
    <w:rsid w:val="00A6209D"/>
    <w:rsid w:val="00A63393"/>
    <w:rsid w:val="00A65952"/>
    <w:rsid w:val="00A661E2"/>
    <w:rsid w:val="00A66B0B"/>
    <w:rsid w:val="00A67C80"/>
    <w:rsid w:val="00A71833"/>
    <w:rsid w:val="00A721C2"/>
    <w:rsid w:val="00A8018E"/>
    <w:rsid w:val="00A8112A"/>
    <w:rsid w:val="00A83869"/>
    <w:rsid w:val="00A85574"/>
    <w:rsid w:val="00A87DEB"/>
    <w:rsid w:val="00A9349D"/>
    <w:rsid w:val="00A93D3B"/>
    <w:rsid w:val="00A95CDF"/>
    <w:rsid w:val="00A967C8"/>
    <w:rsid w:val="00A9700C"/>
    <w:rsid w:val="00A97355"/>
    <w:rsid w:val="00AA043F"/>
    <w:rsid w:val="00AA09B3"/>
    <w:rsid w:val="00AA2B47"/>
    <w:rsid w:val="00AA4CA5"/>
    <w:rsid w:val="00AA5C23"/>
    <w:rsid w:val="00AB0359"/>
    <w:rsid w:val="00AB07BE"/>
    <w:rsid w:val="00AB2AA3"/>
    <w:rsid w:val="00AB5DD1"/>
    <w:rsid w:val="00AB64EC"/>
    <w:rsid w:val="00AC5776"/>
    <w:rsid w:val="00AD15B6"/>
    <w:rsid w:val="00AD30F5"/>
    <w:rsid w:val="00AD32AD"/>
    <w:rsid w:val="00AD4406"/>
    <w:rsid w:val="00AD5142"/>
    <w:rsid w:val="00AD5A0D"/>
    <w:rsid w:val="00AD7DB4"/>
    <w:rsid w:val="00AE4563"/>
    <w:rsid w:val="00AE509F"/>
    <w:rsid w:val="00AE56B7"/>
    <w:rsid w:val="00AF19C2"/>
    <w:rsid w:val="00AF27DE"/>
    <w:rsid w:val="00AF548C"/>
    <w:rsid w:val="00AF6F21"/>
    <w:rsid w:val="00B000BE"/>
    <w:rsid w:val="00B031B1"/>
    <w:rsid w:val="00B03582"/>
    <w:rsid w:val="00B03A19"/>
    <w:rsid w:val="00B03A56"/>
    <w:rsid w:val="00B03DA9"/>
    <w:rsid w:val="00B0495F"/>
    <w:rsid w:val="00B10CD7"/>
    <w:rsid w:val="00B10D6E"/>
    <w:rsid w:val="00B12988"/>
    <w:rsid w:val="00B1701E"/>
    <w:rsid w:val="00B211F0"/>
    <w:rsid w:val="00B21C69"/>
    <w:rsid w:val="00B220A3"/>
    <w:rsid w:val="00B278C4"/>
    <w:rsid w:val="00B3066A"/>
    <w:rsid w:val="00B31029"/>
    <w:rsid w:val="00B43266"/>
    <w:rsid w:val="00B4440D"/>
    <w:rsid w:val="00B52735"/>
    <w:rsid w:val="00B52A79"/>
    <w:rsid w:val="00B52CDA"/>
    <w:rsid w:val="00B53DC2"/>
    <w:rsid w:val="00B56E7E"/>
    <w:rsid w:val="00B61696"/>
    <w:rsid w:val="00B62C8F"/>
    <w:rsid w:val="00B63298"/>
    <w:rsid w:val="00B64195"/>
    <w:rsid w:val="00B65A22"/>
    <w:rsid w:val="00B66A22"/>
    <w:rsid w:val="00B70FCB"/>
    <w:rsid w:val="00B71322"/>
    <w:rsid w:val="00B747C8"/>
    <w:rsid w:val="00B756BC"/>
    <w:rsid w:val="00B76D55"/>
    <w:rsid w:val="00B774A7"/>
    <w:rsid w:val="00B83C9B"/>
    <w:rsid w:val="00B865E0"/>
    <w:rsid w:val="00B93EC1"/>
    <w:rsid w:val="00B95FFF"/>
    <w:rsid w:val="00B96A03"/>
    <w:rsid w:val="00B96F97"/>
    <w:rsid w:val="00B973D5"/>
    <w:rsid w:val="00B9753F"/>
    <w:rsid w:val="00B9757B"/>
    <w:rsid w:val="00BA1220"/>
    <w:rsid w:val="00BA69BF"/>
    <w:rsid w:val="00BA7535"/>
    <w:rsid w:val="00BB41AC"/>
    <w:rsid w:val="00BB56BA"/>
    <w:rsid w:val="00BB61A2"/>
    <w:rsid w:val="00BB7E22"/>
    <w:rsid w:val="00BC0D5D"/>
    <w:rsid w:val="00BC33DB"/>
    <w:rsid w:val="00BD07A0"/>
    <w:rsid w:val="00BD2383"/>
    <w:rsid w:val="00BD2BB6"/>
    <w:rsid w:val="00BD2BDA"/>
    <w:rsid w:val="00BD4EC8"/>
    <w:rsid w:val="00BD5183"/>
    <w:rsid w:val="00BD6900"/>
    <w:rsid w:val="00BE25E2"/>
    <w:rsid w:val="00BE3BB2"/>
    <w:rsid w:val="00BE5BD2"/>
    <w:rsid w:val="00BE6D19"/>
    <w:rsid w:val="00BE7E29"/>
    <w:rsid w:val="00BF0C0A"/>
    <w:rsid w:val="00BF0D5F"/>
    <w:rsid w:val="00BF1F2C"/>
    <w:rsid w:val="00BF3923"/>
    <w:rsid w:val="00BF6F05"/>
    <w:rsid w:val="00BF79D0"/>
    <w:rsid w:val="00BF7AFE"/>
    <w:rsid w:val="00C00143"/>
    <w:rsid w:val="00C02F18"/>
    <w:rsid w:val="00C02F36"/>
    <w:rsid w:val="00C0795C"/>
    <w:rsid w:val="00C12034"/>
    <w:rsid w:val="00C1479C"/>
    <w:rsid w:val="00C24BD6"/>
    <w:rsid w:val="00C356B3"/>
    <w:rsid w:val="00C3584B"/>
    <w:rsid w:val="00C36DC0"/>
    <w:rsid w:val="00C41FA4"/>
    <w:rsid w:val="00C428FC"/>
    <w:rsid w:val="00C45198"/>
    <w:rsid w:val="00C5063F"/>
    <w:rsid w:val="00C53F76"/>
    <w:rsid w:val="00C55BEE"/>
    <w:rsid w:val="00C5658B"/>
    <w:rsid w:val="00C60FBA"/>
    <w:rsid w:val="00C61BFB"/>
    <w:rsid w:val="00C635BB"/>
    <w:rsid w:val="00C63643"/>
    <w:rsid w:val="00C651C3"/>
    <w:rsid w:val="00C67A1B"/>
    <w:rsid w:val="00C763AF"/>
    <w:rsid w:val="00C80B6F"/>
    <w:rsid w:val="00C810F1"/>
    <w:rsid w:val="00C8330D"/>
    <w:rsid w:val="00C838B8"/>
    <w:rsid w:val="00C83CB4"/>
    <w:rsid w:val="00C85F09"/>
    <w:rsid w:val="00C926F7"/>
    <w:rsid w:val="00C937B6"/>
    <w:rsid w:val="00C940C8"/>
    <w:rsid w:val="00C94B04"/>
    <w:rsid w:val="00C9721F"/>
    <w:rsid w:val="00CA0DF2"/>
    <w:rsid w:val="00CA6031"/>
    <w:rsid w:val="00CA6535"/>
    <w:rsid w:val="00CB0736"/>
    <w:rsid w:val="00CB076A"/>
    <w:rsid w:val="00CB36B3"/>
    <w:rsid w:val="00CB56CA"/>
    <w:rsid w:val="00CB6737"/>
    <w:rsid w:val="00CC0C35"/>
    <w:rsid w:val="00CC1886"/>
    <w:rsid w:val="00CC1A42"/>
    <w:rsid w:val="00CC1B69"/>
    <w:rsid w:val="00CD10BF"/>
    <w:rsid w:val="00CD21F4"/>
    <w:rsid w:val="00CD2401"/>
    <w:rsid w:val="00CD2E94"/>
    <w:rsid w:val="00CD3D5B"/>
    <w:rsid w:val="00CD729E"/>
    <w:rsid w:val="00CE085C"/>
    <w:rsid w:val="00D00CEE"/>
    <w:rsid w:val="00D02713"/>
    <w:rsid w:val="00D0317B"/>
    <w:rsid w:val="00D0356F"/>
    <w:rsid w:val="00D0405F"/>
    <w:rsid w:val="00D04671"/>
    <w:rsid w:val="00D04E27"/>
    <w:rsid w:val="00D04F11"/>
    <w:rsid w:val="00D04FCF"/>
    <w:rsid w:val="00D05283"/>
    <w:rsid w:val="00D12365"/>
    <w:rsid w:val="00D1439F"/>
    <w:rsid w:val="00D1763E"/>
    <w:rsid w:val="00D17D57"/>
    <w:rsid w:val="00D255C0"/>
    <w:rsid w:val="00D260D7"/>
    <w:rsid w:val="00D2682E"/>
    <w:rsid w:val="00D406AE"/>
    <w:rsid w:val="00D4342B"/>
    <w:rsid w:val="00D43AE0"/>
    <w:rsid w:val="00D45071"/>
    <w:rsid w:val="00D51946"/>
    <w:rsid w:val="00D519EA"/>
    <w:rsid w:val="00D5281E"/>
    <w:rsid w:val="00D53089"/>
    <w:rsid w:val="00D60FD3"/>
    <w:rsid w:val="00D62581"/>
    <w:rsid w:val="00D70822"/>
    <w:rsid w:val="00D74815"/>
    <w:rsid w:val="00D75022"/>
    <w:rsid w:val="00D77864"/>
    <w:rsid w:val="00D77B78"/>
    <w:rsid w:val="00D8003C"/>
    <w:rsid w:val="00D82600"/>
    <w:rsid w:val="00D83397"/>
    <w:rsid w:val="00D86181"/>
    <w:rsid w:val="00D8740C"/>
    <w:rsid w:val="00D87BD3"/>
    <w:rsid w:val="00D90EAA"/>
    <w:rsid w:val="00D95323"/>
    <w:rsid w:val="00D97CE4"/>
    <w:rsid w:val="00DA2F2E"/>
    <w:rsid w:val="00DA5FDA"/>
    <w:rsid w:val="00DA651B"/>
    <w:rsid w:val="00DA66EC"/>
    <w:rsid w:val="00DA7BB4"/>
    <w:rsid w:val="00DB0B2D"/>
    <w:rsid w:val="00DB2494"/>
    <w:rsid w:val="00DB41FC"/>
    <w:rsid w:val="00DB63F3"/>
    <w:rsid w:val="00DB6683"/>
    <w:rsid w:val="00DB7AAF"/>
    <w:rsid w:val="00DC197E"/>
    <w:rsid w:val="00DC2AD4"/>
    <w:rsid w:val="00DC3DE6"/>
    <w:rsid w:val="00DC5EBC"/>
    <w:rsid w:val="00DC72F4"/>
    <w:rsid w:val="00DD1729"/>
    <w:rsid w:val="00DD243B"/>
    <w:rsid w:val="00DD3C87"/>
    <w:rsid w:val="00DD470E"/>
    <w:rsid w:val="00DD4B00"/>
    <w:rsid w:val="00DD5E91"/>
    <w:rsid w:val="00DD6017"/>
    <w:rsid w:val="00DD6F83"/>
    <w:rsid w:val="00DD7182"/>
    <w:rsid w:val="00DE1019"/>
    <w:rsid w:val="00DE6EE4"/>
    <w:rsid w:val="00DE7BCA"/>
    <w:rsid w:val="00DF1797"/>
    <w:rsid w:val="00DF22A0"/>
    <w:rsid w:val="00DF2EBC"/>
    <w:rsid w:val="00DF3420"/>
    <w:rsid w:val="00DF3636"/>
    <w:rsid w:val="00DF4D77"/>
    <w:rsid w:val="00DF5993"/>
    <w:rsid w:val="00E005C9"/>
    <w:rsid w:val="00E00846"/>
    <w:rsid w:val="00E01122"/>
    <w:rsid w:val="00E0134B"/>
    <w:rsid w:val="00E01CD7"/>
    <w:rsid w:val="00E03B3E"/>
    <w:rsid w:val="00E1061C"/>
    <w:rsid w:val="00E115A6"/>
    <w:rsid w:val="00E11F24"/>
    <w:rsid w:val="00E12B34"/>
    <w:rsid w:val="00E1300B"/>
    <w:rsid w:val="00E14DF2"/>
    <w:rsid w:val="00E15356"/>
    <w:rsid w:val="00E1630F"/>
    <w:rsid w:val="00E16B70"/>
    <w:rsid w:val="00E16DDA"/>
    <w:rsid w:val="00E173F2"/>
    <w:rsid w:val="00E21B57"/>
    <w:rsid w:val="00E26B6A"/>
    <w:rsid w:val="00E27522"/>
    <w:rsid w:val="00E3073A"/>
    <w:rsid w:val="00E3132E"/>
    <w:rsid w:val="00E31FCC"/>
    <w:rsid w:val="00E32CF6"/>
    <w:rsid w:val="00E353BA"/>
    <w:rsid w:val="00E372B9"/>
    <w:rsid w:val="00E435CC"/>
    <w:rsid w:val="00E43F86"/>
    <w:rsid w:val="00E44860"/>
    <w:rsid w:val="00E54AFD"/>
    <w:rsid w:val="00E54F9E"/>
    <w:rsid w:val="00E56094"/>
    <w:rsid w:val="00E56F0F"/>
    <w:rsid w:val="00E626D3"/>
    <w:rsid w:val="00E65AC5"/>
    <w:rsid w:val="00E6733B"/>
    <w:rsid w:val="00E70A92"/>
    <w:rsid w:val="00E72AA1"/>
    <w:rsid w:val="00E73972"/>
    <w:rsid w:val="00E74762"/>
    <w:rsid w:val="00E74DE3"/>
    <w:rsid w:val="00E76B32"/>
    <w:rsid w:val="00E77276"/>
    <w:rsid w:val="00E80578"/>
    <w:rsid w:val="00E82B5C"/>
    <w:rsid w:val="00E83133"/>
    <w:rsid w:val="00E842B7"/>
    <w:rsid w:val="00E84E98"/>
    <w:rsid w:val="00E926B6"/>
    <w:rsid w:val="00E9349E"/>
    <w:rsid w:val="00E93650"/>
    <w:rsid w:val="00EA0973"/>
    <w:rsid w:val="00EA0CA7"/>
    <w:rsid w:val="00EA29F8"/>
    <w:rsid w:val="00EA301A"/>
    <w:rsid w:val="00EA665F"/>
    <w:rsid w:val="00EB0CB0"/>
    <w:rsid w:val="00EB2F98"/>
    <w:rsid w:val="00EB46AF"/>
    <w:rsid w:val="00EB561A"/>
    <w:rsid w:val="00EB6794"/>
    <w:rsid w:val="00EB6925"/>
    <w:rsid w:val="00EB7FCE"/>
    <w:rsid w:val="00EC00BE"/>
    <w:rsid w:val="00EC0A0A"/>
    <w:rsid w:val="00EC2A71"/>
    <w:rsid w:val="00EC2E76"/>
    <w:rsid w:val="00EC31E2"/>
    <w:rsid w:val="00EC31E7"/>
    <w:rsid w:val="00EC3B07"/>
    <w:rsid w:val="00EC4435"/>
    <w:rsid w:val="00EC49CA"/>
    <w:rsid w:val="00ED0AA5"/>
    <w:rsid w:val="00ED140B"/>
    <w:rsid w:val="00ED1F07"/>
    <w:rsid w:val="00ED1F5B"/>
    <w:rsid w:val="00ED2776"/>
    <w:rsid w:val="00ED69D7"/>
    <w:rsid w:val="00EE0528"/>
    <w:rsid w:val="00EE0AC9"/>
    <w:rsid w:val="00EE338F"/>
    <w:rsid w:val="00EE438B"/>
    <w:rsid w:val="00EE6800"/>
    <w:rsid w:val="00EF04E1"/>
    <w:rsid w:val="00EF06D5"/>
    <w:rsid w:val="00EF0C4A"/>
    <w:rsid w:val="00EF29D7"/>
    <w:rsid w:val="00EF44F0"/>
    <w:rsid w:val="00EF5F3F"/>
    <w:rsid w:val="00F02C10"/>
    <w:rsid w:val="00F0348F"/>
    <w:rsid w:val="00F0363F"/>
    <w:rsid w:val="00F03B86"/>
    <w:rsid w:val="00F04944"/>
    <w:rsid w:val="00F0609D"/>
    <w:rsid w:val="00F06778"/>
    <w:rsid w:val="00F068AF"/>
    <w:rsid w:val="00F07755"/>
    <w:rsid w:val="00F078A4"/>
    <w:rsid w:val="00F078F8"/>
    <w:rsid w:val="00F07E22"/>
    <w:rsid w:val="00F11FE2"/>
    <w:rsid w:val="00F120CC"/>
    <w:rsid w:val="00F1365A"/>
    <w:rsid w:val="00F16DEB"/>
    <w:rsid w:val="00F20FAF"/>
    <w:rsid w:val="00F2270B"/>
    <w:rsid w:val="00F24F4B"/>
    <w:rsid w:val="00F256BC"/>
    <w:rsid w:val="00F327B6"/>
    <w:rsid w:val="00F336DA"/>
    <w:rsid w:val="00F350A6"/>
    <w:rsid w:val="00F35ABB"/>
    <w:rsid w:val="00F35DAC"/>
    <w:rsid w:val="00F37B94"/>
    <w:rsid w:val="00F40E09"/>
    <w:rsid w:val="00F43E04"/>
    <w:rsid w:val="00F448C5"/>
    <w:rsid w:val="00F46609"/>
    <w:rsid w:val="00F47CAD"/>
    <w:rsid w:val="00F50571"/>
    <w:rsid w:val="00F51FB1"/>
    <w:rsid w:val="00F55BE0"/>
    <w:rsid w:val="00F56ADC"/>
    <w:rsid w:val="00F57280"/>
    <w:rsid w:val="00F602B4"/>
    <w:rsid w:val="00F631FA"/>
    <w:rsid w:val="00F64440"/>
    <w:rsid w:val="00F645D8"/>
    <w:rsid w:val="00F649AA"/>
    <w:rsid w:val="00F6552A"/>
    <w:rsid w:val="00F65D23"/>
    <w:rsid w:val="00F6735E"/>
    <w:rsid w:val="00F70D73"/>
    <w:rsid w:val="00F70E1F"/>
    <w:rsid w:val="00F77D8E"/>
    <w:rsid w:val="00F77E2C"/>
    <w:rsid w:val="00F81607"/>
    <w:rsid w:val="00F81D58"/>
    <w:rsid w:val="00F81F9C"/>
    <w:rsid w:val="00F8299A"/>
    <w:rsid w:val="00F82A87"/>
    <w:rsid w:val="00F85A6D"/>
    <w:rsid w:val="00F85EF3"/>
    <w:rsid w:val="00F875FB"/>
    <w:rsid w:val="00F9152B"/>
    <w:rsid w:val="00F92C89"/>
    <w:rsid w:val="00F946E7"/>
    <w:rsid w:val="00F9553A"/>
    <w:rsid w:val="00F96FD3"/>
    <w:rsid w:val="00F97CA1"/>
    <w:rsid w:val="00FA130B"/>
    <w:rsid w:val="00FA17C6"/>
    <w:rsid w:val="00FA1FBB"/>
    <w:rsid w:val="00FA47AB"/>
    <w:rsid w:val="00FA76DF"/>
    <w:rsid w:val="00FB3F1E"/>
    <w:rsid w:val="00FB58D2"/>
    <w:rsid w:val="00FB5A8E"/>
    <w:rsid w:val="00FC2578"/>
    <w:rsid w:val="00FC2A9C"/>
    <w:rsid w:val="00FC2B70"/>
    <w:rsid w:val="00FC5222"/>
    <w:rsid w:val="00FC5AAE"/>
    <w:rsid w:val="00FD14B1"/>
    <w:rsid w:val="00FD1BE3"/>
    <w:rsid w:val="00FD2C81"/>
    <w:rsid w:val="00FD35E9"/>
    <w:rsid w:val="00FD5646"/>
    <w:rsid w:val="00FD5AD7"/>
    <w:rsid w:val="00FD5E9D"/>
    <w:rsid w:val="00FE6E3C"/>
    <w:rsid w:val="00FE77B5"/>
    <w:rsid w:val="00FE7F8A"/>
    <w:rsid w:val="00FF0CF0"/>
    <w:rsid w:val="00FF1B40"/>
    <w:rsid w:val="00FF4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22ABC3A-C084-4716-9C7B-7F4C021CF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next w:val="BodyText"/>
    <w:link w:val="Heading3Char"/>
    <w:qFormat/>
    <w:pPr>
      <w:keepNext/>
      <w:spacing w:before="240" w:after="120"/>
      <w:ind w:left="-391"/>
      <w:outlineLvl w:val="2"/>
    </w:pPr>
    <w:rPr>
      <w:rFonts w:ascii="Arial" w:hAnsi="Arial"/>
      <w:b/>
      <w:kern w:val="28"/>
      <w:sz w:val="36"/>
    </w:rPr>
  </w:style>
  <w:style w:type="paragraph" w:styleId="Heading4">
    <w:name w:val="heading 4"/>
    <w:next w:val="BodyText"/>
    <w:qFormat/>
    <w:pPr>
      <w:keepNext/>
      <w:spacing w:before="240" w:after="120"/>
      <w:ind w:left="-391"/>
      <w:outlineLvl w:val="3"/>
    </w:pPr>
    <w:rPr>
      <w:rFonts w:ascii="Arial" w:hAnsi="Arial"/>
      <w:b/>
      <w:sz w:val="28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pPr>
      <w:suppressAutoHyphens/>
      <w:spacing w:before="60" w:after="120"/>
      <w:jc w:val="both"/>
    </w:pPr>
  </w:style>
  <w:style w:type="paragraph" w:customStyle="1" w:styleId="Subheading">
    <w:name w:val="Subheading"/>
    <w:pPr>
      <w:widowControl w:val="0"/>
      <w:spacing w:before="60" w:after="120"/>
      <w:jc w:val="right"/>
    </w:pPr>
    <w:rPr>
      <w:rFonts w:ascii="Arial" w:hAnsi="Arial"/>
      <w:b/>
    </w:rPr>
  </w:style>
  <w:style w:type="paragraph" w:customStyle="1" w:styleId="Subheading3">
    <w:name w:val="Subheading3"/>
    <w:next w:val="BodyText"/>
    <w:pPr>
      <w:keepNext/>
      <w:spacing w:before="120" w:after="120"/>
    </w:pPr>
    <w:rPr>
      <w:rFonts w:ascii="Arial" w:hAnsi="Arial"/>
      <w:i/>
      <w:sz w:val="24"/>
    </w:rPr>
  </w:style>
  <w:style w:type="paragraph" w:customStyle="1" w:styleId="Window">
    <w:name w:val="Window"/>
    <w:pPr>
      <w:spacing w:before="80"/>
      <w:jc w:val="right"/>
    </w:pPr>
    <w:rPr>
      <w:rFonts w:ascii="Arial" w:hAnsi="Arial"/>
      <w:i/>
      <w:sz w:val="18"/>
      <w:lang w:val="en-US"/>
    </w:rPr>
  </w:style>
  <w:style w:type="paragraph" w:customStyle="1" w:styleId="Menu">
    <w:name w:val="Menu"/>
    <w:basedOn w:val="Window"/>
    <w:pPr>
      <w:spacing w:before="60" w:after="120"/>
      <w:jc w:val="left"/>
    </w:pPr>
  </w:style>
  <w:style w:type="paragraph" w:styleId="Caption">
    <w:name w:val="caption"/>
    <w:next w:val="Window"/>
    <w:qFormat/>
    <w:pPr>
      <w:spacing w:before="60" w:after="120"/>
      <w:jc w:val="right"/>
    </w:pPr>
    <w:rPr>
      <w:rFonts w:ascii="Arial" w:hAnsi="Arial"/>
      <w:b/>
      <w:noProof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itle">
    <w:name w:val="Title"/>
    <w:next w:val="Normal"/>
    <w:qFormat/>
    <w:pPr>
      <w:spacing w:after="120"/>
      <w:jc w:val="right"/>
    </w:pPr>
    <w:rPr>
      <w:rFonts w:ascii="Arial" w:hAnsi="Arial"/>
      <w:b/>
      <w:noProof/>
      <w:kern w:val="28"/>
      <w:sz w:val="56"/>
    </w:rPr>
  </w:style>
  <w:style w:type="paragraph" w:customStyle="1" w:styleId="BulletList">
    <w:name w:val="Bullet List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BulletList1">
    <w:name w:val="Bullet List 1"/>
    <w:next w:val="Normal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</w:rPr>
  </w:style>
  <w:style w:type="paragraph" w:styleId="TOC1">
    <w:name w:val="toc 1"/>
    <w:basedOn w:val="Normal"/>
    <w:next w:val="Normal"/>
    <w:autoRedefine/>
    <w:semiHidden/>
    <w:pPr>
      <w:spacing w:before="240" w:after="120"/>
      <w:ind w:left="115" w:right="130"/>
    </w:pPr>
    <w:rPr>
      <w:rFonts w:ascii="Arial" w:hAnsi="Arial"/>
      <w:b/>
      <w:sz w:val="28"/>
    </w:rPr>
  </w:style>
  <w:style w:type="paragraph" w:customStyle="1" w:styleId="JumpfromContents">
    <w:name w:val="Jump from Contents"/>
    <w:basedOn w:val="Normal"/>
    <w:pPr>
      <w:spacing w:before="20" w:after="60" w:line="280" w:lineRule="atLeast"/>
      <w:ind w:left="115" w:right="130"/>
    </w:pPr>
    <w:rPr>
      <w:rFonts w:ascii="Verdana" w:hAnsi="Verdana"/>
      <w:b/>
      <w:sz w:val="22"/>
      <w:u w:val="double"/>
    </w:rPr>
  </w:style>
  <w:style w:type="paragraph" w:customStyle="1" w:styleId="RelatedHead">
    <w:name w:val="RelatedHead"/>
    <w:basedOn w:val="Normal"/>
    <w:next w:val="Normal"/>
    <w:pPr>
      <w:spacing w:before="180" w:after="20"/>
      <w:ind w:left="115" w:right="130"/>
    </w:pPr>
    <w:rPr>
      <w:rFonts w:ascii="Arial" w:hAnsi="Arial"/>
      <w:b/>
      <w:color w:val="0000FF"/>
      <w:sz w:val="22"/>
    </w:r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spacing w:before="80"/>
      <w:ind w:left="115" w:right="130"/>
    </w:pPr>
    <w:rPr>
      <w:rFonts w:ascii="Arial" w:hAnsi="Arial"/>
      <w:b/>
      <w:sz w:val="16"/>
    </w:rPr>
  </w:style>
  <w:style w:type="paragraph" w:customStyle="1" w:styleId="JumpfromList">
    <w:name w:val="Jump from List"/>
    <w:basedOn w:val="Normal"/>
    <w:pPr>
      <w:spacing w:after="60" w:line="280" w:lineRule="atLeast"/>
      <w:ind w:left="115" w:right="130"/>
    </w:pPr>
    <w:rPr>
      <w:rFonts w:ascii="Verdana" w:hAnsi="Verdana"/>
      <w:sz w:val="16"/>
      <w:u w:val="double"/>
    </w:rPr>
  </w:style>
  <w:style w:type="character" w:customStyle="1" w:styleId="BulletListChar">
    <w:name w:val="Bullet List Char"/>
    <w:basedOn w:val="DefaultParagraphFont"/>
    <w:rPr>
      <w:rFonts w:ascii="Verdana" w:hAnsi="Verdana"/>
      <w:sz w:val="16"/>
      <w:lang w:val="en-GB" w:eastAsia="en-US" w:bidi="ar-SA"/>
    </w:rPr>
  </w:style>
  <w:style w:type="paragraph" w:styleId="ListBullet">
    <w:name w:val="List Bullet"/>
    <w:basedOn w:val="Normal"/>
    <w:autoRedefine/>
    <w:pPr>
      <w:numPr>
        <w:numId w:val="2"/>
      </w:numPr>
      <w:spacing w:before="60" w:after="60"/>
      <w:ind w:left="357" w:right="130" w:hanging="357"/>
      <w:jc w:val="both"/>
    </w:pPr>
    <w:rPr>
      <w:rFonts w:ascii="Arial" w:hAnsi="Arial"/>
      <w:sz w:val="16"/>
      <w:lang w:eastAsia="en-US"/>
    </w:rPr>
  </w:style>
  <w:style w:type="paragraph" w:customStyle="1" w:styleId="Menubullet">
    <w:name w:val="Menu bullet"/>
    <w:basedOn w:val="Menu"/>
    <w:pPr>
      <w:numPr>
        <w:numId w:val="4"/>
      </w:numPr>
      <w:tabs>
        <w:tab w:val="clear" w:pos="360"/>
      </w:tabs>
      <w:spacing w:before="0" w:after="60"/>
      <w:ind w:left="284" w:right="130" w:hanging="284"/>
    </w:pPr>
    <w:rPr>
      <w:lang w:eastAsia="en-US"/>
    </w:rPr>
  </w:style>
  <w:style w:type="paragraph" w:customStyle="1" w:styleId="NumberList1">
    <w:name w:val="Number List 1"/>
    <w:basedOn w:val="BodyText"/>
    <w:next w:val="NumberList"/>
    <w:pPr>
      <w:numPr>
        <w:numId w:val="3"/>
      </w:numPr>
      <w:spacing w:line="280" w:lineRule="atLeast"/>
      <w:ind w:right="130"/>
    </w:pPr>
    <w:rPr>
      <w:rFonts w:ascii="Verdana" w:hAnsi="Verdana"/>
      <w:sz w:val="16"/>
      <w:lang w:val="en-US" w:eastAsia="en-US"/>
    </w:rPr>
  </w:style>
  <w:style w:type="paragraph" w:customStyle="1" w:styleId="NumberList">
    <w:name w:val="Number List"/>
    <w:pPr>
      <w:spacing w:before="100" w:line="280" w:lineRule="atLeast"/>
      <w:ind w:left="317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TipNoteTextBulleted">
    <w:name w:val="Tip/Note Text Bulleted"/>
    <w:basedOn w:val="TipNoteText"/>
    <w:pPr>
      <w:numPr>
        <w:numId w:val="5"/>
      </w:numPr>
      <w:tabs>
        <w:tab w:val="clear" w:pos="360"/>
        <w:tab w:val="left" w:pos="302"/>
      </w:tabs>
      <w:ind w:hanging="187"/>
    </w:pPr>
  </w:style>
  <w:style w:type="paragraph" w:customStyle="1" w:styleId="TipNoteText">
    <w:name w:val="Tip/Note Text"/>
    <w:basedOn w:val="Normal"/>
    <w:pPr>
      <w:spacing w:before="80"/>
      <w:ind w:left="302" w:right="130"/>
    </w:pPr>
    <w:rPr>
      <w:rFonts w:ascii="Arial" w:hAnsi="Arial"/>
      <w:sz w:val="16"/>
      <w:lang w:eastAsia="en-US"/>
    </w:rPr>
  </w:style>
  <w:style w:type="paragraph" w:customStyle="1" w:styleId="TopicTextBulleted">
    <w:name w:val="Topic Text Bulleted"/>
    <w:basedOn w:val="Normal"/>
    <w:pPr>
      <w:numPr>
        <w:numId w:val="6"/>
      </w:numPr>
      <w:tabs>
        <w:tab w:val="clear" w:pos="360"/>
        <w:tab w:val="left" w:pos="302"/>
      </w:tabs>
      <w:spacing w:before="80"/>
      <w:ind w:right="130" w:hanging="187"/>
    </w:pPr>
    <w:rPr>
      <w:rFonts w:ascii="Arial" w:hAnsi="Arial"/>
      <w:sz w:val="16"/>
      <w:lang w:eastAsia="en-US"/>
    </w:rPr>
  </w:style>
  <w:style w:type="paragraph" w:customStyle="1" w:styleId="TableHeading">
    <w:name w:val="Table Heading"/>
    <w:next w:val="Table"/>
    <w:pPr>
      <w:spacing w:before="120" w:after="180"/>
      <w:jc w:val="center"/>
    </w:pPr>
    <w:rPr>
      <w:rFonts w:ascii="Arial" w:hAnsi="Arial"/>
      <w:sz w:val="18"/>
      <w:lang w:eastAsia="en-US"/>
    </w:rPr>
  </w:style>
  <w:style w:type="paragraph" w:customStyle="1" w:styleId="Table">
    <w:name w:val="Table"/>
    <w:basedOn w:val="Normal"/>
    <w:pPr>
      <w:tabs>
        <w:tab w:val="center" w:pos="556"/>
      </w:tabs>
      <w:suppressAutoHyphens/>
      <w:spacing w:before="60" w:after="60"/>
      <w:ind w:left="115" w:right="130"/>
    </w:pPr>
    <w:rPr>
      <w:rFonts w:ascii="Arial" w:hAnsi="Arial"/>
      <w:sz w:val="18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body-text">
    <w:name w:val="body-text"/>
    <w:basedOn w:val="Normal"/>
    <w:pPr>
      <w:spacing w:before="100"/>
      <w:ind w:left="115" w:right="130"/>
    </w:pPr>
    <w:rPr>
      <w:rFonts w:ascii="Verdana" w:hAnsi="Verdana" w:cs="Arial"/>
      <w:sz w:val="16"/>
      <w:szCs w:val="16"/>
    </w:rPr>
  </w:style>
  <w:style w:type="paragraph" w:customStyle="1" w:styleId="subheading0">
    <w:name w:val="subheading"/>
    <w:basedOn w:val="Normal"/>
    <w:pPr>
      <w:spacing w:before="60" w:after="120"/>
      <w:ind w:left="115" w:right="130"/>
      <w:jc w:val="right"/>
    </w:pPr>
    <w:rPr>
      <w:rFonts w:ascii="Arial" w:hAnsi="Arial" w:cs="Arial"/>
      <w:b/>
      <w:bCs/>
    </w:rPr>
  </w:style>
  <w:style w:type="paragraph" w:customStyle="1" w:styleId="subheading30">
    <w:name w:val="subheading3"/>
    <w:basedOn w:val="Normal"/>
    <w:pPr>
      <w:spacing w:before="120" w:after="120"/>
      <w:ind w:left="115" w:right="130"/>
    </w:pPr>
    <w:rPr>
      <w:rFonts w:ascii="Arial" w:hAnsi="Arial" w:cs="Arial"/>
      <w:i/>
      <w:iCs/>
      <w:sz w:val="24"/>
      <w:szCs w:val="24"/>
    </w:rPr>
  </w:style>
  <w:style w:type="paragraph" w:customStyle="1" w:styleId="window0">
    <w:name w:val="window"/>
    <w:basedOn w:val="Normal"/>
    <w:pPr>
      <w:spacing w:before="100"/>
      <w:ind w:left="115" w:right="130"/>
      <w:jc w:val="right"/>
    </w:pPr>
    <w:rPr>
      <w:rFonts w:ascii="Arial" w:hAnsi="Arial" w:cs="Arial"/>
      <w:i/>
      <w:iCs/>
      <w:sz w:val="18"/>
      <w:szCs w:val="18"/>
    </w:rPr>
  </w:style>
  <w:style w:type="paragraph" w:customStyle="1" w:styleId="ReferenceLine">
    <w:name w:val="Reference Line"/>
    <w:basedOn w:val="BodyText"/>
    <w:rPr>
      <w:lang w:eastAsia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  <w:lang w:eastAsia="en-US"/>
    </w:rPr>
  </w:style>
  <w:style w:type="paragraph" w:styleId="Index3">
    <w:name w:val="index 3"/>
    <w:basedOn w:val="Normal"/>
    <w:next w:val="Normal"/>
    <w:autoRedefine/>
    <w:semiHidden/>
    <w:rsid w:val="00373564"/>
    <w:pPr>
      <w:numPr>
        <w:numId w:val="33"/>
      </w:numPr>
      <w:tabs>
        <w:tab w:val="clear" w:pos="360"/>
      </w:tabs>
      <w:ind w:left="601" w:hanging="198"/>
    </w:pPr>
    <w:rPr>
      <w:sz w:val="18"/>
      <w:lang w:eastAsia="en-US"/>
    </w:rPr>
  </w:style>
  <w:style w:type="paragraph" w:styleId="BodyText3">
    <w:name w:val="Body Text 3"/>
    <w:basedOn w:val="Normal"/>
    <w:rsid w:val="00F55BE0"/>
    <w:pPr>
      <w:spacing w:after="120"/>
    </w:pPr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99"/>
    <w:rsid w:val="00EC31E2"/>
    <w:rPr>
      <w:lang w:val="en-GB" w:eastAsia="en-GB" w:bidi="ar-SA"/>
    </w:rPr>
  </w:style>
  <w:style w:type="character" w:customStyle="1" w:styleId="Heading3Char">
    <w:name w:val="Heading 3 Char"/>
    <w:basedOn w:val="DefaultParagraphFont"/>
    <w:link w:val="Heading3"/>
    <w:rsid w:val="00474336"/>
    <w:rPr>
      <w:rFonts w:ascii="Arial" w:hAnsi="Arial"/>
      <w:b/>
      <w:kern w:val="28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01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6187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821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1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7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30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58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Design%20Specification%2020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C1C0E2-52F3-47AA-803F-3DA2C010F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Design Specification 2002.dot</Template>
  <TotalTime>32</TotalTime>
  <Pages>7</Pages>
  <Words>957</Words>
  <Characters>5461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Global 3000 Service Pack Note</vt:lpstr>
    </vt:vector>
  </TitlesOfParts>
  <Manager>AJU</Manager>
  <Company>TIS Software Ltd</Company>
  <LinksUpToDate>false</LinksUpToDate>
  <CharactersWithSpaces>6406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Global 3000 Service Pack Note</dc:title>
  <dc:subject>Debtors and Creditors Ledger - Transaction Revaluation</dc:subject>
  <dc:creator>DCP</dc:creator>
  <cp:keywords>1.0</cp:keywords>
  <dc:description>This service pack provides the ability to revalue foreign currency transactions.</dc:description>
  <cp:lastModifiedBy>Penfold, Dan</cp:lastModifiedBy>
  <cp:revision>11</cp:revision>
  <cp:lastPrinted>2002-03-05T14:24:00Z</cp:lastPrinted>
  <dcterms:created xsi:type="dcterms:W3CDTF">2016-06-17T09:20:00Z</dcterms:created>
  <dcterms:modified xsi:type="dcterms:W3CDTF">2016-06-17T15:44:00Z</dcterms:modified>
</cp:coreProperties>
</file>