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733CE6">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E842B7">
      <w:pPr>
        <w:pStyle w:val="Title"/>
      </w:pPr>
      <w:r w:rsidRPr="008E645B">
        <w:t>S</w:t>
      </w:r>
      <w:r w:rsidR="004C51E5">
        <w:t>ervice Pack Note</w:t>
      </w:r>
    </w:p>
    <w:p w:rsidR="00E842B7" w:rsidRPr="008E645B" w:rsidRDefault="00E842B7"/>
    <w:p w:rsidR="00E842B7" w:rsidRPr="008E645B" w:rsidRDefault="00E842B7"/>
    <w:p w:rsidR="00E842B7" w:rsidRPr="008E645B" w:rsidRDefault="003A52A0">
      <w:pPr>
        <w:pStyle w:val="Title"/>
      </w:pPr>
      <w:r>
        <w:fldChar w:fldCharType="begin"/>
      </w:r>
      <w:r>
        <w:instrText xml:space="preserve"> SUBJECT  \* MERGEFORMAT </w:instrText>
      </w:r>
      <w:r>
        <w:fldChar w:fldCharType="separate"/>
      </w:r>
      <w:r w:rsidR="007736F9">
        <w:t>DL and CL Allocation Batches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6854C0" w:rsidRDefault="006854C0">
      <w:pPr>
        <w:rPr>
          <w:rFonts w:ascii="Arial" w:hAnsi="Arial"/>
          <w:b/>
          <w:sz w:val="22"/>
        </w:rPr>
      </w:pPr>
    </w:p>
    <w:p w:rsidR="006854C0" w:rsidRDefault="006854C0">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4C51E5" w:rsidRDefault="004C51E5">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7736F9">
        <w:rPr>
          <w:rFonts w:ascii="CG Omega" w:hAnsi="CG Omega"/>
          <w:sz w:val="24"/>
        </w:rPr>
        <w:t>This service pack updates Debtors Ledger and Creditors Ledger to parameterise the type of allocation batches that are created.</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B52BA5" w:rsidRPr="008E645B" w:rsidTr="00BF6D82">
        <w:trPr>
          <w:trHeight w:val="240"/>
        </w:trPr>
        <w:tc>
          <w:tcPr>
            <w:tcW w:w="10173" w:type="dxa"/>
          </w:tcPr>
          <w:p w:rsidR="00B52BA5" w:rsidRDefault="006609D7" w:rsidP="00877FE3">
            <w:pPr>
              <w:pStyle w:val="BodyText"/>
              <w:rPr>
                <w:rFonts w:ascii="CG Omega" w:hAnsi="CG Omega"/>
                <w:sz w:val="24"/>
              </w:rPr>
            </w:pPr>
            <w:r>
              <w:rPr>
                <w:rFonts w:ascii="CG Omega" w:hAnsi="CG Omega"/>
                <w:sz w:val="24"/>
              </w:rPr>
              <w:t xml:space="preserve">In systems configured to analyse settlement discount taken to net and tax (standard UK tax processing) allocation takes place via special payment/receipt batches.  </w:t>
            </w:r>
            <w:r w:rsidR="00877FE3">
              <w:rPr>
                <w:rFonts w:ascii="CG Omega" w:hAnsi="CG Omega"/>
                <w:sz w:val="24"/>
              </w:rPr>
              <w:t>This has led to multiple allocation batch types within transaction entry which in turn has led to confusion.</w:t>
            </w:r>
            <w:r>
              <w:rPr>
                <w:rFonts w:ascii="CG Omega" w:hAnsi="CG Omega"/>
                <w:sz w:val="24"/>
              </w:rPr>
              <w:t xml:space="preserve">  </w:t>
            </w:r>
          </w:p>
        </w:tc>
      </w:tr>
      <w:tr w:rsidR="003C7E6B" w:rsidRPr="008E645B" w:rsidTr="00BF6D82">
        <w:trPr>
          <w:trHeight w:val="240"/>
        </w:trPr>
        <w:tc>
          <w:tcPr>
            <w:tcW w:w="10173" w:type="dxa"/>
          </w:tcPr>
          <w:p w:rsidR="007A0B57" w:rsidRDefault="004E01F6" w:rsidP="00791074">
            <w:pPr>
              <w:pStyle w:val="BodyText"/>
              <w:rPr>
                <w:rFonts w:ascii="CG Omega" w:hAnsi="CG Omega"/>
                <w:sz w:val="24"/>
              </w:rPr>
            </w:pPr>
            <w:r>
              <w:rPr>
                <w:rFonts w:ascii="CG Omega" w:hAnsi="CG Omega"/>
                <w:sz w:val="24"/>
              </w:rPr>
              <w:t xml:space="preserve">The changes are </w:t>
            </w:r>
            <w:r w:rsidR="004D1524">
              <w:rPr>
                <w:rFonts w:ascii="CG Omega" w:hAnsi="CG Omega"/>
                <w:sz w:val="24"/>
              </w:rPr>
              <w:t xml:space="preserve">to replace the ‘Allocation </w:t>
            </w:r>
            <w:proofErr w:type="gramStart"/>
            <w:r w:rsidR="004D1524">
              <w:rPr>
                <w:rFonts w:ascii="CG Omega" w:hAnsi="CG Omega"/>
                <w:sz w:val="24"/>
              </w:rPr>
              <w:t>With</w:t>
            </w:r>
            <w:proofErr w:type="gramEnd"/>
            <w:r w:rsidR="004D1524">
              <w:rPr>
                <w:rFonts w:ascii="CG Omega" w:hAnsi="CG Omega"/>
                <w:sz w:val="24"/>
              </w:rPr>
              <w:t xml:space="preserve"> Discount’ and ‘Allocation Without Discount’ batch types within transaction entry with a single ‘Allocation’ batch type which is controlled via a new system parameter labelled ‘Disable allocation with discount’</w:t>
            </w:r>
            <w:r w:rsidR="0052189E">
              <w:rPr>
                <w:rFonts w:ascii="CG Omega" w:hAnsi="CG Omega"/>
                <w:sz w:val="24"/>
              </w:rPr>
              <w:t xml:space="preserve">. By </w:t>
            </w:r>
            <w:r w:rsidR="00791074">
              <w:rPr>
                <w:rFonts w:ascii="CG Omega" w:hAnsi="CG Omega"/>
                <w:sz w:val="24"/>
              </w:rPr>
              <w:t>default,</w:t>
            </w:r>
            <w:r w:rsidR="0052189E">
              <w:rPr>
                <w:rFonts w:ascii="CG Omega" w:hAnsi="CG Omega"/>
                <w:sz w:val="24"/>
              </w:rPr>
              <w:t xml:space="preserve"> </w:t>
            </w:r>
            <w:r w:rsidR="00791074">
              <w:rPr>
                <w:rFonts w:ascii="CG Omega" w:hAnsi="CG Omega"/>
                <w:sz w:val="24"/>
              </w:rPr>
              <w:t xml:space="preserve">the allocation option will create a </w:t>
            </w:r>
            <w:r w:rsidR="0052189E">
              <w:rPr>
                <w:rFonts w:ascii="CG Omega" w:hAnsi="CG Omega"/>
                <w:sz w:val="24"/>
              </w:rPr>
              <w:t>special payment/receipt batch</w:t>
            </w:r>
            <w:r w:rsidR="00791074">
              <w:rPr>
                <w:rFonts w:ascii="CG Omega" w:hAnsi="CG Omega"/>
                <w:sz w:val="24"/>
              </w:rPr>
              <w:t>. I</w:t>
            </w:r>
            <w:r w:rsidR="0052189E">
              <w:rPr>
                <w:rFonts w:ascii="CG Omega" w:hAnsi="CG Omega"/>
                <w:sz w:val="24"/>
              </w:rPr>
              <w:t>f the new parameter is set standard allocation batches are created</w:t>
            </w:r>
            <w:r w:rsidR="00791074">
              <w:rPr>
                <w:rFonts w:ascii="CG Omega" w:hAnsi="CG Omega"/>
                <w:sz w:val="24"/>
              </w:rPr>
              <w:t>, however transactions with settlement discount cannot be selected</w:t>
            </w:r>
            <w:r w:rsidR="0052189E">
              <w:rPr>
                <w:rFonts w:ascii="CG Omega" w:hAnsi="CG Omega"/>
                <w:sz w:val="24"/>
              </w:rPr>
              <w:t xml:space="preserve">. </w:t>
            </w:r>
          </w:p>
        </w:tc>
      </w:tr>
      <w:tr w:rsidR="007527E0" w:rsidRPr="008E645B" w:rsidTr="00BF6D82">
        <w:trPr>
          <w:trHeight w:val="240"/>
        </w:trPr>
        <w:tc>
          <w:tcPr>
            <w:tcW w:w="10173" w:type="dxa"/>
          </w:tcPr>
          <w:p w:rsidR="007527E0" w:rsidRDefault="00791074" w:rsidP="00BF6D82">
            <w:pPr>
              <w:pStyle w:val="BodyText"/>
              <w:rPr>
                <w:rFonts w:ascii="CG Omega" w:hAnsi="CG Omega"/>
                <w:sz w:val="24"/>
              </w:rPr>
            </w:pPr>
            <w:r>
              <w:rPr>
                <w:rFonts w:ascii="CG Omega" w:hAnsi="CG Omega"/>
                <w:sz w:val="24"/>
              </w:rPr>
              <w:t xml:space="preserve">Note, if </w:t>
            </w:r>
            <w:r w:rsidR="004C51E5">
              <w:rPr>
                <w:rFonts w:ascii="CG Omega" w:hAnsi="CG Omega"/>
                <w:sz w:val="24"/>
              </w:rPr>
              <w:t xml:space="preserve">you currently </w:t>
            </w:r>
            <w:r>
              <w:rPr>
                <w:rFonts w:ascii="CG Omega" w:hAnsi="CG Omega"/>
                <w:sz w:val="24"/>
              </w:rPr>
              <w:t>solely use ‘Allocation Without Discount’ style batches you will need to set the new parameter.</w:t>
            </w:r>
          </w:p>
        </w:tc>
      </w:tr>
    </w:tbl>
    <w:p w:rsidR="00B52BA5" w:rsidRPr="00B52BA5" w:rsidRDefault="00B52BA5" w:rsidP="00B52BA5">
      <w:pPr>
        <w:pStyle w:val="BodyText"/>
      </w:pPr>
    </w:p>
    <w:p w:rsidR="00E3132E" w:rsidRDefault="00E3132E">
      <w:pPr>
        <w:rPr>
          <w:rFonts w:ascii="Arial" w:hAnsi="Arial"/>
          <w:b/>
          <w:sz w:val="22"/>
        </w:rPr>
      </w:pPr>
    </w:p>
    <w:p w:rsidR="00E842B7"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FF109B" w:rsidRDefault="00FF109B">
      <w:pPr>
        <w:rPr>
          <w:rFonts w:ascii="Arial" w:hAnsi="Arial"/>
          <w:b/>
          <w:sz w:val="22"/>
        </w:rPr>
      </w:pPr>
    </w:p>
    <w:p w:rsidR="006E40DC" w:rsidRDefault="00801316" w:rsidP="006E40DC">
      <w:pPr>
        <w:pStyle w:val="Heading4"/>
      </w:pPr>
      <w:r>
        <w:t xml:space="preserve">DL </w:t>
      </w:r>
      <w:r w:rsidR="006E40DC">
        <w:t xml:space="preserve">Operating Options – </w:t>
      </w:r>
      <w:r w:rsidR="007A382F">
        <w:t>T</w:t>
      </w:r>
      <w:r>
        <w:t>rans</w:t>
      </w:r>
      <w:r w:rsidR="007A382F">
        <w:t>a</w:t>
      </w:r>
      <w:r>
        <w:t xml:space="preserve">ction Entry </w:t>
      </w:r>
      <w:r w:rsidR="00403BFF">
        <w:t>Settings (</w:t>
      </w:r>
      <w:r w:rsidR="00100266">
        <w:t>Continued</w:t>
      </w:r>
      <w:r w:rsidR="00403BFF">
        <w:t>)</w:t>
      </w:r>
      <w:r>
        <w:t xml:space="preserve"> </w:t>
      </w:r>
    </w:p>
    <w:p w:rsidR="00801316" w:rsidRDefault="005E3852" w:rsidP="00801316">
      <w:pPr>
        <w:rPr>
          <w:i/>
          <w:iCs/>
        </w:rPr>
      </w:pPr>
      <w:r>
        <w:rPr>
          <w:i/>
          <w:iCs/>
        </w:rPr>
        <w:t xml:space="preserve"> </w:t>
      </w:r>
      <w:r w:rsidR="000328A0">
        <w:rPr>
          <w:noProof/>
        </w:rPr>
        <w:drawing>
          <wp:inline distT="0" distB="0" distL="0" distR="0" wp14:anchorId="613C197F" wp14:editId="5843F466">
            <wp:extent cx="6409055" cy="34391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3439160"/>
                    </a:xfrm>
                    <a:prstGeom prst="rect">
                      <a:avLst/>
                    </a:prstGeom>
                  </pic:spPr>
                </pic:pic>
              </a:graphicData>
            </a:graphic>
          </wp:inline>
        </w:drawing>
      </w:r>
      <w:bookmarkStart w:id="0" w:name="_GoBack"/>
      <w:bookmarkEnd w:id="0"/>
    </w:p>
    <w:p w:rsidR="005E3852" w:rsidRDefault="005E3852" w:rsidP="00801316">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801316" w:rsidRPr="007E7A37" w:rsidTr="00133BB9">
        <w:trPr>
          <w:cantSplit/>
        </w:trPr>
        <w:tc>
          <w:tcPr>
            <w:tcW w:w="2410" w:type="dxa"/>
          </w:tcPr>
          <w:p w:rsidR="00801316" w:rsidRDefault="00801316" w:rsidP="00133BB9">
            <w:pPr>
              <w:pStyle w:val="Subheading"/>
            </w:pPr>
          </w:p>
        </w:tc>
        <w:tc>
          <w:tcPr>
            <w:tcW w:w="7088" w:type="dxa"/>
          </w:tcPr>
          <w:p w:rsidR="00801316" w:rsidRPr="007E7A37" w:rsidRDefault="00801316" w:rsidP="00133BB9">
            <w:pPr>
              <w:pStyle w:val="BodyText"/>
            </w:pPr>
            <w:r>
              <w:t>This window appears when you confirm your responses in the ‘Transaction Entry Settings’ window.</w:t>
            </w:r>
          </w:p>
        </w:tc>
      </w:tr>
      <w:tr w:rsidR="00801316" w:rsidTr="00133BB9">
        <w:trPr>
          <w:cantSplit/>
        </w:trPr>
        <w:tc>
          <w:tcPr>
            <w:tcW w:w="2410" w:type="dxa"/>
          </w:tcPr>
          <w:p w:rsidR="00801316" w:rsidRDefault="00801316" w:rsidP="00133BB9">
            <w:pPr>
              <w:pStyle w:val="Subheading"/>
            </w:pPr>
            <w:r>
              <w:t>Purpose</w:t>
            </w:r>
          </w:p>
        </w:tc>
        <w:tc>
          <w:tcPr>
            <w:tcW w:w="7088" w:type="dxa"/>
          </w:tcPr>
          <w:p w:rsidR="00801316" w:rsidRDefault="00801316" w:rsidP="00801316">
            <w:pPr>
              <w:pStyle w:val="BodyText"/>
            </w:pPr>
            <w:r>
              <w:t>This window contains Debtors Ledger transaction entry options.</w:t>
            </w:r>
          </w:p>
        </w:tc>
      </w:tr>
      <w:tr w:rsidR="00801316" w:rsidTr="00133BB9">
        <w:trPr>
          <w:cantSplit/>
        </w:trPr>
        <w:tc>
          <w:tcPr>
            <w:tcW w:w="2410" w:type="dxa"/>
          </w:tcPr>
          <w:p w:rsidR="00801316" w:rsidRPr="00F41849" w:rsidRDefault="00801316" w:rsidP="00133BB9">
            <w:pPr>
              <w:pStyle w:val="Subheading"/>
              <w:rPr>
                <w:i/>
              </w:rPr>
            </w:pPr>
            <w:r w:rsidRPr="00F41849">
              <w:rPr>
                <w:i/>
              </w:rPr>
              <w:t>Note</w:t>
            </w:r>
          </w:p>
        </w:tc>
        <w:tc>
          <w:tcPr>
            <w:tcW w:w="7088" w:type="dxa"/>
            <w:shd w:val="pct12" w:color="auto" w:fill="auto"/>
          </w:tcPr>
          <w:p w:rsidR="00801316" w:rsidRDefault="00801316" w:rsidP="00133BB9">
            <w:pPr>
              <w:pStyle w:val="BodyText"/>
            </w:pPr>
            <w:r>
              <w:t xml:space="preserve">The configuration options in this window apply to </w:t>
            </w:r>
            <w:r w:rsidRPr="0089676B">
              <w:rPr>
                <w:b/>
              </w:rPr>
              <w:t>ALL</w:t>
            </w:r>
            <w:r>
              <w:t xml:space="preserve"> companies.</w:t>
            </w:r>
          </w:p>
        </w:tc>
      </w:tr>
    </w:tbl>
    <w:p w:rsidR="00801316" w:rsidRDefault="00801316" w:rsidP="00801316"/>
    <w:p w:rsidR="00801316" w:rsidRDefault="00801316" w:rsidP="00801316">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01316" w:rsidTr="00133BB9">
        <w:trPr>
          <w:cantSplit/>
        </w:trPr>
        <w:tc>
          <w:tcPr>
            <w:tcW w:w="2410" w:type="dxa"/>
          </w:tcPr>
          <w:p w:rsidR="00801316" w:rsidRDefault="00100266" w:rsidP="00133BB9">
            <w:pPr>
              <w:pStyle w:val="Subheading"/>
            </w:pPr>
            <w:r>
              <w:t>Disable allocation with discount</w:t>
            </w:r>
          </w:p>
        </w:tc>
        <w:tc>
          <w:tcPr>
            <w:tcW w:w="7092" w:type="dxa"/>
          </w:tcPr>
          <w:p w:rsidR="00801316" w:rsidRDefault="00403BFF" w:rsidP="0076207B">
            <w:pPr>
              <w:pStyle w:val="BodyText"/>
            </w:pPr>
            <w:r>
              <w:t>By default, the ‘Allocation’ batches created by transaction entry are special receipt batches for the purpose of allocation. However, if this option is set transaction entry creates standard allocation batches.</w:t>
            </w:r>
            <w:r w:rsidR="00D06B1D">
              <w:t xml:space="preserve"> When this option is set you cannot select any transactions that have settlement discount </w:t>
            </w:r>
            <w:r w:rsidR="0076207B">
              <w:t>within</w:t>
            </w:r>
            <w:r w:rsidR="00D06B1D">
              <w:t xml:space="preserve"> allocation</w:t>
            </w:r>
            <w:r w:rsidR="0076207B">
              <w:t xml:space="preserve"> batches, instead transactions with settlement discount must be allocated to payments directly.</w:t>
            </w:r>
          </w:p>
        </w:tc>
      </w:tr>
      <w:tr w:rsidR="00801316" w:rsidTr="00133BB9">
        <w:trPr>
          <w:cantSplit/>
        </w:trPr>
        <w:tc>
          <w:tcPr>
            <w:tcW w:w="2410" w:type="dxa"/>
          </w:tcPr>
          <w:p w:rsidR="00801316" w:rsidRPr="00BF3DD0" w:rsidRDefault="00801316" w:rsidP="00133BB9">
            <w:pPr>
              <w:pStyle w:val="Subheading"/>
              <w:rPr>
                <w:i/>
              </w:rPr>
            </w:pPr>
            <w:r w:rsidRPr="00BF3DD0">
              <w:rPr>
                <w:i/>
              </w:rPr>
              <w:t>Note</w:t>
            </w:r>
          </w:p>
        </w:tc>
        <w:tc>
          <w:tcPr>
            <w:tcW w:w="7092" w:type="dxa"/>
            <w:shd w:val="pct12" w:color="auto" w:fill="auto"/>
          </w:tcPr>
          <w:p w:rsidR="00801316" w:rsidRDefault="00D06B1D" w:rsidP="00403BFF">
            <w:pPr>
              <w:pStyle w:val="BodyText"/>
            </w:pPr>
            <w:r>
              <w:t>The above setting only applies to systems configured to analyse settlement discount to net and tax.</w:t>
            </w:r>
          </w:p>
        </w:tc>
      </w:tr>
    </w:tbl>
    <w:p w:rsidR="00801316" w:rsidRDefault="00801316" w:rsidP="00801316">
      <w:pPr>
        <w:pStyle w:val="BodyText"/>
        <w:rPr>
          <w:rFonts w:ascii="Arial" w:hAnsi="Arial"/>
          <w:b/>
          <w:bCs/>
          <w:sz w:val="22"/>
        </w:rPr>
      </w:pPr>
    </w:p>
    <w:p w:rsidR="00801316" w:rsidRDefault="00801316" w:rsidP="006E40DC">
      <w:pPr>
        <w:rPr>
          <w:i/>
          <w:iCs/>
        </w:rPr>
      </w:pPr>
    </w:p>
    <w:p w:rsidR="00801316" w:rsidRDefault="00801316" w:rsidP="006E40DC">
      <w:pPr>
        <w:rPr>
          <w:i/>
          <w:iCs/>
        </w:rPr>
      </w:pPr>
    </w:p>
    <w:p w:rsidR="005E3852" w:rsidRDefault="005E3852">
      <w:pPr>
        <w:rPr>
          <w:rFonts w:ascii="Arial" w:hAnsi="Arial"/>
          <w:b/>
          <w:kern w:val="28"/>
          <w:sz w:val="36"/>
        </w:rPr>
      </w:pPr>
      <w:r>
        <w:br w:type="page"/>
      </w:r>
    </w:p>
    <w:p w:rsidR="00680665" w:rsidRDefault="00680665" w:rsidP="00680665">
      <w:pPr>
        <w:pStyle w:val="Heading3"/>
        <w:ind w:left="0"/>
      </w:pPr>
      <w:r>
        <w:lastRenderedPageBreak/>
        <w:t>DL Transaction Entry – Batch Type Selection</w:t>
      </w:r>
    </w:p>
    <w:p w:rsidR="00680665" w:rsidRDefault="00680665" w:rsidP="00680665">
      <w:pPr>
        <w:rPr>
          <w:i/>
          <w:iCs/>
        </w:rPr>
      </w:pPr>
    </w:p>
    <w:p w:rsidR="00680665" w:rsidRDefault="005E3852" w:rsidP="00680665">
      <w:pPr>
        <w:rPr>
          <w:i/>
          <w:iCs/>
        </w:rPr>
      </w:pPr>
      <w:r>
        <w:rPr>
          <w:noProof/>
        </w:rPr>
        <w:drawing>
          <wp:inline distT="0" distB="0" distL="0" distR="0" wp14:anchorId="6CEFAE39" wp14:editId="73043A26">
            <wp:extent cx="3695700" cy="4676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95700" cy="4676775"/>
                    </a:xfrm>
                    <a:prstGeom prst="rect">
                      <a:avLst/>
                    </a:prstGeom>
                  </pic:spPr>
                </pic:pic>
              </a:graphicData>
            </a:graphic>
          </wp:inline>
        </w:drawing>
      </w:r>
    </w:p>
    <w:p w:rsidR="005E3852" w:rsidRDefault="005E3852" w:rsidP="00680665">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680665" w:rsidTr="00133BB9">
        <w:trPr>
          <w:cantSplit/>
        </w:trPr>
        <w:tc>
          <w:tcPr>
            <w:tcW w:w="2410" w:type="dxa"/>
          </w:tcPr>
          <w:p w:rsidR="00680665" w:rsidRDefault="00680665" w:rsidP="00133BB9">
            <w:pPr>
              <w:pStyle w:val="Subheading"/>
            </w:pPr>
            <w:r>
              <w:t xml:space="preserve">Allocation </w:t>
            </w:r>
          </w:p>
        </w:tc>
        <w:tc>
          <w:tcPr>
            <w:tcW w:w="7092" w:type="dxa"/>
          </w:tcPr>
          <w:p w:rsidR="00680665" w:rsidRDefault="00680665" w:rsidP="00133BB9">
            <w:pPr>
              <w:pStyle w:val="BodyText"/>
            </w:pPr>
            <w:r>
              <w:t>Select this to enter an allocations batch.</w:t>
            </w:r>
          </w:p>
          <w:p w:rsidR="002B242F" w:rsidRDefault="002B242F" w:rsidP="00133BB9">
            <w:pPr>
              <w:pStyle w:val="BodyText"/>
            </w:pPr>
            <w:r>
              <w:t>Depending on system configuration one of the following batch types are created.</w:t>
            </w:r>
          </w:p>
          <w:p w:rsidR="002B242F" w:rsidRDefault="002B242F" w:rsidP="000076E2">
            <w:pPr>
              <w:pStyle w:val="BodyText"/>
              <w:numPr>
                <w:ilvl w:val="0"/>
                <w:numId w:val="16"/>
              </w:numPr>
            </w:pPr>
            <w:r>
              <w:t xml:space="preserve">If settlement discount is </w:t>
            </w:r>
            <w:r w:rsidRPr="002B242F">
              <w:rPr>
                <w:b/>
              </w:rPr>
              <w:t>NOT</w:t>
            </w:r>
            <w:r>
              <w:t xml:space="preserve"> analysed to net and tax. A standard allocations batch is created. </w:t>
            </w:r>
          </w:p>
          <w:p w:rsidR="002B242F" w:rsidRDefault="002B242F" w:rsidP="000076E2">
            <w:pPr>
              <w:pStyle w:val="BodyText"/>
              <w:numPr>
                <w:ilvl w:val="0"/>
                <w:numId w:val="16"/>
              </w:numPr>
            </w:pPr>
            <w:r>
              <w:t>If settlement discount is analysed to net and tax but the system is configured to disable allocation with discount. A standard allocations batch is created however; you cannot select any transactions that have settlement discount.</w:t>
            </w:r>
          </w:p>
          <w:p w:rsidR="002B242F" w:rsidRDefault="002B242F" w:rsidP="000076E2">
            <w:pPr>
              <w:pStyle w:val="BodyText"/>
              <w:numPr>
                <w:ilvl w:val="0"/>
                <w:numId w:val="16"/>
              </w:numPr>
            </w:pPr>
            <w:r>
              <w:t xml:space="preserve">If settlement discount is analysed to net and tax </w:t>
            </w:r>
            <w:r w:rsidR="000076E2">
              <w:t>and</w:t>
            </w:r>
            <w:r>
              <w:t xml:space="preserve"> the system is </w:t>
            </w:r>
            <w:r w:rsidR="000076E2" w:rsidRPr="000076E2">
              <w:rPr>
                <w:b/>
              </w:rPr>
              <w:t>NOT</w:t>
            </w:r>
            <w:r w:rsidR="000076E2">
              <w:t xml:space="preserve"> </w:t>
            </w:r>
            <w:r>
              <w:t>configured to disable allocation with discount.</w:t>
            </w:r>
            <w:r w:rsidR="000076E2">
              <w:t xml:space="preserve"> A special receipts batch for the purpose of allocation is created. This should be used where settlement discount has been taken and the tax on the discount is to be reclaimed.  </w:t>
            </w:r>
          </w:p>
        </w:tc>
      </w:tr>
      <w:tr w:rsidR="00680665" w:rsidTr="00133BB9">
        <w:trPr>
          <w:cantSplit/>
        </w:trPr>
        <w:tc>
          <w:tcPr>
            <w:tcW w:w="2410" w:type="dxa"/>
          </w:tcPr>
          <w:p w:rsidR="00680665" w:rsidRPr="00BF3DD0" w:rsidRDefault="00680665" w:rsidP="00133BB9">
            <w:pPr>
              <w:pStyle w:val="Subheading"/>
              <w:rPr>
                <w:i/>
              </w:rPr>
            </w:pPr>
            <w:r w:rsidRPr="00BF3DD0">
              <w:rPr>
                <w:i/>
              </w:rPr>
              <w:t>Note</w:t>
            </w:r>
          </w:p>
        </w:tc>
        <w:tc>
          <w:tcPr>
            <w:tcW w:w="7092" w:type="dxa"/>
            <w:shd w:val="pct12" w:color="auto" w:fill="auto"/>
          </w:tcPr>
          <w:p w:rsidR="00680665" w:rsidRDefault="00680665" w:rsidP="00133BB9">
            <w:pPr>
              <w:pStyle w:val="BodyText"/>
            </w:pPr>
            <w:r>
              <w:t xml:space="preserve">Receipts generated for allocation purposes are zero valued and have their own auto-generated document number (the prefix which defaults to ‘AR’ and next number can be adjusted within system parameters if required).  Standard allocation batches cannot be used when settlement discount is analysed to net and tax because if tax is reclaimed it must be posted on to general ledger via a receipt.  </w:t>
            </w:r>
          </w:p>
        </w:tc>
      </w:tr>
    </w:tbl>
    <w:p w:rsidR="00801316" w:rsidRDefault="00801316" w:rsidP="006E40DC">
      <w:pPr>
        <w:rPr>
          <w:i/>
          <w:iCs/>
        </w:rPr>
      </w:pPr>
    </w:p>
    <w:p w:rsidR="00801316" w:rsidRDefault="00801316" w:rsidP="006E40DC">
      <w:pPr>
        <w:rPr>
          <w:i/>
          <w:iCs/>
        </w:rPr>
      </w:pPr>
    </w:p>
    <w:p w:rsidR="001E38BE" w:rsidRDefault="001E38BE">
      <w:pPr>
        <w:rPr>
          <w:rFonts w:ascii="Arial" w:hAnsi="Arial"/>
          <w:b/>
          <w:sz w:val="22"/>
        </w:rPr>
      </w:pPr>
    </w:p>
    <w:p w:rsidR="00303A9E" w:rsidRDefault="00303A9E" w:rsidP="001E38BE"/>
    <w:p w:rsidR="009627E4" w:rsidRDefault="009627E4">
      <w:pPr>
        <w:rPr>
          <w:rFonts w:ascii="Arial" w:hAnsi="Arial"/>
          <w:b/>
          <w:sz w:val="22"/>
        </w:rPr>
      </w:pPr>
    </w:p>
    <w:p w:rsidR="008D31F5" w:rsidRDefault="008D31F5" w:rsidP="008D31F5">
      <w:pPr>
        <w:pStyle w:val="Heading4"/>
      </w:pPr>
      <w:r>
        <w:lastRenderedPageBreak/>
        <w:t xml:space="preserve">CL Operating Options – Transaction Entry Settings (Continued) </w:t>
      </w:r>
    </w:p>
    <w:p w:rsidR="008D31F5" w:rsidRDefault="00CB1041" w:rsidP="008D31F5">
      <w:pPr>
        <w:rPr>
          <w:i/>
          <w:iCs/>
        </w:rPr>
      </w:pPr>
      <w:r>
        <w:rPr>
          <w:noProof/>
        </w:rPr>
        <w:drawing>
          <wp:inline distT="0" distB="0" distL="0" distR="0" wp14:anchorId="29CDC261" wp14:editId="13D46DE1">
            <wp:extent cx="6409055" cy="34391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3439160"/>
                    </a:xfrm>
                    <a:prstGeom prst="rect">
                      <a:avLst/>
                    </a:prstGeom>
                  </pic:spPr>
                </pic:pic>
              </a:graphicData>
            </a:graphic>
          </wp:inline>
        </w:drawing>
      </w:r>
    </w:p>
    <w:p w:rsidR="008D31F5" w:rsidRDefault="008D31F5" w:rsidP="008D31F5">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8D31F5" w:rsidRPr="007E7A37" w:rsidTr="00133BB9">
        <w:trPr>
          <w:cantSplit/>
        </w:trPr>
        <w:tc>
          <w:tcPr>
            <w:tcW w:w="2410" w:type="dxa"/>
          </w:tcPr>
          <w:p w:rsidR="008D31F5" w:rsidRDefault="008D31F5" w:rsidP="00133BB9">
            <w:pPr>
              <w:pStyle w:val="Subheading"/>
            </w:pPr>
          </w:p>
        </w:tc>
        <w:tc>
          <w:tcPr>
            <w:tcW w:w="7088" w:type="dxa"/>
          </w:tcPr>
          <w:p w:rsidR="008D31F5" w:rsidRPr="007E7A37" w:rsidRDefault="008D31F5" w:rsidP="00133BB9">
            <w:pPr>
              <w:pStyle w:val="BodyText"/>
            </w:pPr>
            <w:r>
              <w:t>This window appears when you confirm your responses in the ‘Transaction Entry Settings’ window.</w:t>
            </w:r>
          </w:p>
        </w:tc>
      </w:tr>
      <w:tr w:rsidR="008D31F5" w:rsidTr="00133BB9">
        <w:trPr>
          <w:cantSplit/>
        </w:trPr>
        <w:tc>
          <w:tcPr>
            <w:tcW w:w="2410" w:type="dxa"/>
          </w:tcPr>
          <w:p w:rsidR="008D31F5" w:rsidRDefault="008D31F5" w:rsidP="00133BB9">
            <w:pPr>
              <w:pStyle w:val="Subheading"/>
            </w:pPr>
            <w:r>
              <w:t>Purpose</w:t>
            </w:r>
          </w:p>
        </w:tc>
        <w:tc>
          <w:tcPr>
            <w:tcW w:w="7088" w:type="dxa"/>
          </w:tcPr>
          <w:p w:rsidR="008D31F5" w:rsidRDefault="008D31F5" w:rsidP="008D31F5">
            <w:pPr>
              <w:pStyle w:val="BodyText"/>
            </w:pPr>
            <w:r>
              <w:t>This window contains Creditors Ledger transaction entry options.</w:t>
            </w:r>
          </w:p>
        </w:tc>
      </w:tr>
      <w:tr w:rsidR="008D31F5" w:rsidTr="00133BB9">
        <w:trPr>
          <w:cantSplit/>
        </w:trPr>
        <w:tc>
          <w:tcPr>
            <w:tcW w:w="2410" w:type="dxa"/>
          </w:tcPr>
          <w:p w:rsidR="008D31F5" w:rsidRPr="00F41849" w:rsidRDefault="008D31F5" w:rsidP="00133BB9">
            <w:pPr>
              <w:pStyle w:val="Subheading"/>
              <w:rPr>
                <w:i/>
              </w:rPr>
            </w:pPr>
            <w:r w:rsidRPr="00F41849">
              <w:rPr>
                <w:i/>
              </w:rPr>
              <w:t>Note</w:t>
            </w:r>
          </w:p>
        </w:tc>
        <w:tc>
          <w:tcPr>
            <w:tcW w:w="7088" w:type="dxa"/>
            <w:shd w:val="pct12" w:color="auto" w:fill="auto"/>
          </w:tcPr>
          <w:p w:rsidR="008D31F5" w:rsidRDefault="008D31F5" w:rsidP="00133BB9">
            <w:pPr>
              <w:pStyle w:val="BodyText"/>
            </w:pPr>
            <w:r>
              <w:t xml:space="preserve">The configuration options in this window apply to </w:t>
            </w:r>
            <w:r w:rsidRPr="0089676B">
              <w:rPr>
                <w:b/>
              </w:rPr>
              <w:t>ALL</w:t>
            </w:r>
            <w:r>
              <w:t xml:space="preserve"> companies.</w:t>
            </w:r>
          </w:p>
        </w:tc>
      </w:tr>
    </w:tbl>
    <w:p w:rsidR="008D31F5" w:rsidRDefault="008D31F5" w:rsidP="008D31F5"/>
    <w:p w:rsidR="008D31F5" w:rsidRDefault="008D31F5" w:rsidP="008D31F5">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D31F5" w:rsidTr="00133BB9">
        <w:trPr>
          <w:cantSplit/>
        </w:trPr>
        <w:tc>
          <w:tcPr>
            <w:tcW w:w="2410" w:type="dxa"/>
          </w:tcPr>
          <w:p w:rsidR="008D31F5" w:rsidRDefault="008D31F5" w:rsidP="00133BB9">
            <w:pPr>
              <w:pStyle w:val="Subheading"/>
            </w:pPr>
            <w:r>
              <w:t>Disable allocation with discount</w:t>
            </w:r>
          </w:p>
        </w:tc>
        <w:tc>
          <w:tcPr>
            <w:tcW w:w="7092" w:type="dxa"/>
          </w:tcPr>
          <w:p w:rsidR="008D31F5" w:rsidRDefault="008D31F5" w:rsidP="00942AB1">
            <w:pPr>
              <w:pStyle w:val="BodyText"/>
            </w:pPr>
            <w:r>
              <w:t xml:space="preserve">By default, the ‘Allocation’ batches created by transaction entry are special payment batches for the purpose of allocation. However, if this option is set transaction entry creates standard allocation batches. When this option is set you cannot select any transactions that have settlement discount </w:t>
            </w:r>
            <w:r w:rsidR="00942AB1">
              <w:t xml:space="preserve">within </w:t>
            </w:r>
            <w:r>
              <w:t>allocation</w:t>
            </w:r>
            <w:r w:rsidR="00942AB1">
              <w:t xml:space="preserve"> batches, instead transactions with settlement discount must be allocated to payments directly.</w:t>
            </w:r>
          </w:p>
        </w:tc>
      </w:tr>
      <w:tr w:rsidR="008D31F5" w:rsidTr="00133BB9">
        <w:trPr>
          <w:cantSplit/>
        </w:trPr>
        <w:tc>
          <w:tcPr>
            <w:tcW w:w="2410" w:type="dxa"/>
          </w:tcPr>
          <w:p w:rsidR="008D31F5" w:rsidRPr="00BF3DD0" w:rsidRDefault="008D31F5" w:rsidP="00133BB9">
            <w:pPr>
              <w:pStyle w:val="Subheading"/>
              <w:rPr>
                <w:i/>
              </w:rPr>
            </w:pPr>
            <w:r w:rsidRPr="00BF3DD0">
              <w:rPr>
                <w:i/>
              </w:rPr>
              <w:t>Note</w:t>
            </w:r>
          </w:p>
        </w:tc>
        <w:tc>
          <w:tcPr>
            <w:tcW w:w="7092" w:type="dxa"/>
            <w:shd w:val="pct12" w:color="auto" w:fill="auto"/>
          </w:tcPr>
          <w:p w:rsidR="008D31F5" w:rsidRDefault="008D31F5" w:rsidP="00133BB9">
            <w:pPr>
              <w:pStyle w:val="BodyText"/>
            </w:pPr>
            <w:r>
              <w:t>The above setting only applies to systems configured to analyse settlement discount to net and tax.</w:t>
            </w:r>
          </w:p>
        </w:tc>
      </w:tr>
    </w:tbl>
    <w:p w:rsidR="008D31F5" w:rsidRDefault="008D31F5" w:rsidP="008D31F5">
      <w:pPr>
        <w:rPr>
          <w:i/>
          <w:iCs/>
        </w:rPr>
      </w:pPr>
    </w:p>
    <w:p w:rsidR="000D05D1" w:rsidRDefault="000D05D1">
      <w:pPr>
        <w:rPr>
          <w:rFonts w:ascii="Arial" w:hAnsi="Arial"/>
          <w:b/>
          <w:kern w:val="28"/>
          <w:sz w:val="36"/>
        </w:rPr>
      </w:pPr>
      <w:r>
        <w:br w:type="page"/>
      </w:r>
    </w:p>
    <w:p w:rsidR="008D31F5" w:rsidRDefault="008D31F5" w:rsidP="008D31F5">
      <w:pPr>
        <w:pStyle w:val="Heading3"/>
        <w:ind w:left="0"/>
      </w:pPr>
      <w:r>
        <w:lastRenderedPageBreak/>
        <w:t>CL Transaction Entry – Batch Type Selection</w:t>
      </w:r>
    </w:p>
    <w:p w:rsidR="008D31F5" w:rsidRDefault="00E01FAB" w:rsidP="008D31F5">
      <w:pPr>
        <w:rPr>
          <w:i/>
          <w:iCs/>
        </w:rPr>
      </w:pPr>
      <w:r>
        <w:rPr>
          <w:noProof/>
        </w:rPr>
        <w:drawing>
          <wp:inline distT="0" distB="0" distL="0" distR="0" wp14:anchorId="1CE12891" wp14:editId="56E1F22B">
            <wp:extent cx="3657600" cy="4667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4667250"/>
                    </a:xfrm>
                    <a:prstGeom prst="rect">
                      <a:avLst/>
                    </a:prstGeom>
                  </pic:spPr>
                </pic:pic>
              </a:graphicData>
            </a:graphic>
          </wp:inline>
        </w:drawing>
      </w:r>
    </w:p>
    <w:p w:rsidR="00E01FAB" w:rsidRDefault="00E01FAB" w:rsidP="008D31F5">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D31F5" w:rsidTr="00133BB9">
        <w:trPr>
          <w:cantSplit/>
        </w:trPr>
        <w:tc>
          <w:tcPr>
            <w:tcW w:w="2410" w:type="dxa"/>
          </w:tcPr>
          <w:p w:rsidR="008D31F5" w:rsidRDefault="008D31F5" w:rsidP="00133BB9">
            <w:pPr>
              <w:pStyle w:val="Subheading"/>
            </w:pPr>
            <w:r>
              <w:t xml:space="preserve">Allocation </w:t>
            </w:r>
          </w:p>
        </w:tc>
        <w:tc>
          <w:tcPr>
            <w:tcW w:w="7092" w:type="dxa"/>
          </w:tcPr>
          <w:p w:rsidR="008D31F5" w:rsidRDefault="008D31F5" w:rsidP="00133BB9">
            <w:pPr>
              <w:pStyle w:val="BodyText"/>
            </w:pPr>
            <w:r>
              <w:t>Select this to enter an allocations batch.</w:t>
            </w:r>
          </w:p>
          <w:p w:rsidR="008D31F5" w:rsidRDefault="008D31F5" w:rsidP="00133BB9">
            <w:pPr>
              <w:pStyle w:val="BodyText"/>
            </w:pPr>
            <w:r>
              <w:t>Depending on system configuration one of the following batch types are created.</w:t>
            </w:r>
          </w:p>
          <w:p w:rsidR="008D31F5" w:rsidRDefault="008D31F5" w:rsidP="00133BB9">
            <w:pPr>
              <w:pStyle w:val="BodyText"/>
              <w:numPr>
                <w:ilvl w:val="0"/>
                <w:numId w:val="16"/>
              </w:numPr>
            </w:pPr>
            <w:r>
              <w:t xml:space="preserve">If settlement discount is </w:t>
            </w:r>
            <w:r w:rsidRPr="002B242F">
              <w:rPr>
                <w:b/>
              </w:rPr>
              <w:t>NOT</w:t>
            </w:r>
            <w:r>
              <w:t xml:space="preserve"> analysed to net and tax. A standard allocations batch is created. </w:t>
            </w:r>
          </w:p>
          <w:p w:rsidR="008D31F5" w:rsidRDefault="008D31F5" w:rsidP="00133BB9">
            <w:pPr>
              <w:pStyle w:val="BodyText"/>
              <w:numPr>
                <w:ilvl w:val="0"/>
                <w:numId w:val="16"/>
              </w:numPr>
            </w:pPr>
            <w:r>
              <w:t>If settlement discount is analysed to net and tax but the system is configured to disable allocation with discount. A standard allocations batch is created however; you cannot select any transactions that have settlement discount.</w:t>
            </w:r>
          </w:p>
          <w:p w:rsidR="008D31F5" w:rsidRDefault="008D31F5" w:rsidP="008D31F5">
            <w:pPr>
              <w:pStyle w:val="BodyText"/>
              <w:numPr>
                <w:ilvl w:val="0"/>
                <w:numId w:val="16"/>
              </w:numPr>
            </w:pPr>
            <w:r>
              <w:t xml:space="preserve">If settlement discount is analysed to net and tax and the system is </w:t>
            </w:r>
            <w:r w:rsidRPr="000076E2">
              <w:rPr>
                <w:b/>
              </w:rPr>
              <w:t>NOT</w:t>
            </w:r>
            <w:r>
              <w:t xml:space="preserve"> configured to disable allocation with discount. A special payments batch for the purpose of allocation is created. This should be used where settlement discount has been taken and the tax on the discount is to be reclaimed.  </w:t>
            </w:r>
          </w:p>
        </w:tc>
      </w:tr>
      <w:tr w:rsidR="008D31F5" w:rsidTr="00133BB9">
        <w:trPr>
          <w:cantSplit/>
        </w:trPr>
        <w:tc>
          <w:tcPr>
            <w:tcW w:w="2410" w:type="dxa"/>
          </w:tcPr>
          <w:p w:rsidR="008D31F5" w:rsidRPr="00BF3DD0" w:rsidRDefault="008D31F5" w:rsidP="008D31F5">
            <w:pPr>
              <w:pStyle w:val="Subheading"/>
              <w:rPr>
                <w:i/>
              </w:rPr>
            </w:pPr>
            <w:r w:rsidRPr="00BF3DD0">
              <w:rPr>
                <w:i/>
              </w:rPr>
              <w:t>Note</w:t>
            </w:r>
          </w:p>
        </w:tc>
        <w:tc>
          <w:tcPr>
            <w:tcW w:w="7092" w:type="dxa"/>
            <w:shd w:val="pct12" w:color="auto" w:fill="auto"/>
          </w:tcPr>
          <w:p w:rsidR="008D31F5" w:rsidRDefault="008D31F5" w:rsidP="008D31F5">
            <w:pPr>
              <w:pStyle w:val="BodyText"/>
            </w:pPr>
            <w:r>
              <w:t xml:space="preserve">Payments generated for allocation purposes are zero valued and have their own auto-generated document number (the prefix which defaults to ‘AP’ and next number can be adjusted within system parameters if required).  Standard allocation batches cannot be used when settlement discount is analysed to net and tax because if tax is reclaimed it must be posted on to general ledger via a payment.  </w:t>
            </w:r>
          </w:p>
        </w:tc>
      </w:tr>
    </w:tbl>
    <w:p w:rsidR="008D31F5" w:rsidRDefault="008D31F5" w:rsidP="008D31F5">
      <w:pPr>
        <w:rPr>
          <w:i/>
          <w:iCs/>
        </w:rPr>
      </w:pPr>
    </w:p>
    <w:p w:rsidR="008D31F5" w:rsidRDefault="008D31F5" w:rsidP="008D31F5">
      <w:pPr>
        <w:rPr>
          <w:i/>
          <w:iCs/>
        </w:rPr>
      </w:pPr>
    </w:p>
    <w:sectPr w:rsidR="008D31F5">
      <w:footerReference w:type="default" r:id="rId13"/>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2A0" w:rsidRDefault="003A52A0">
      <w:r>
        <w:separator/>
      </w:r>
    </w:p>
  </w:endnote>
  <w:endnote w:type="continuationSeparator" w:id="0">
    <w:p w:rsidR="003A52A0" w:rsidRDefault="003A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7F22E0">
      <w:tc>
        <w:tcPr>
          <w:tcW w:w="2178" w:type="dxa"/>
        </w:tcPr>
        <w:p w:rsidR="007F22E0" w:rsidRDefault="007F22E0">
          <w:pPr>
            <w:pStyle w:val="Footer"/>
            <w:rPr>
              <w:rFonts w:ascii="Arial" w:hAnsi="Arial"/>
              <w:b/>
              <w:sz w:val="24"/>
            </w:rPr>
          </w:pPr>
          <w:r>
            <w:rPr>
              <w:rFonts w:ascii="Arial" w:hAnsi="Arial"/>
              <w:b/>
              <w:sz w:val="24"/>
            </w:rPr>
            <w:t>Author</w:t>
          </w:r>
        </w:p>
      </w:tc>
      <w:tc>
        <w:tcPr>
          <w:tcW w:w="8130" w:type="dxa"/>
          <w:gridSpan w:val="2"/>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B072E5">
            <w:rPr>
              <w:rFonts w:ascii="Arial" w:hAnsi="Arial"/>
              <w:noProof/>
              <w:sz w:val="18"/>
            </w:rPr>
            <w:t>DCP</w:t>
          </w:r>
          <w:r>
            <w:rPr>
              <w:rFonts w:ascii="Arial" w:hAnsi="Arial"/>
              <w:sz w:val="18"/>
            </w:rPr>
            <w:fldChar w:fldCharType="end"/>
          </w:r>
        </w:p>
      </w:tc>
    </w:tr>
    <w:tr w:rsidR="007F22E0">
      <w:tc>
        <w:tcPr>
          <w:tcW w:w="2178" w:type="dxa"/>
        </w:tcPr>
        <w:p w:rsidR="007F22E0" w:rsidRDefault="007F22E0">
          <w:pPr>
            <w:pStyle w:val="Footer"/>
            <w:rPr>
              <w:rFonts w:ascii="Arial" w:hAnsi="Arial"/>
              <w:b/>
              <w:sz w:val="24"/>
            </w:rPr>
          </w:pPr>
          <w:r>
            <w:rPr>
              <w:rFonts w:ascii="Arial" w:hAnsi="Arial"/>
              <w:b/>
              <w:sz w:val="24"/>
            </w:rPr>
            <w:t>Project</w:t>
          </w:r>
        </w:p>
      </w:tc>
      <w:tc>
        <w:tcPr>
          <w:tcW w:w="8130" w:type="dxa"/>
          <w:gridSpan w:val="2"/>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B072E5">
            <w:rPr>
              <w:rFonts w:ascii="Arial" w:hAnsi="Arial"/>
              <w:noProof/>
              <w:sz w:val="18"/>
            </w:rPr>
            <w:t>ZM60_000472</w:t>
          </w:r>
          <w:r>
            <w:rPr>
              <w:rFonts w:ascii="Arial" w:hAnsi="Arial"/>
              <w:sz w:val="18"/>
            </w:rPr>
            <w:fldChar w:fldCharType="end"/>
          </w:r>
        </w:p>
      </w:tc>
    </w:tr>
    <w:tr w:rsidR="007F22E0">
      <w:trPr>
        <w:cantSplit/>
      </w:trPr>
      <w:tc>
        <w:tcPr>
          <w:tcW w:w="2178" w:type="dxa"/>
        </w:tcPr>
        <w:p w:rsidR="007F22E0" w:rsidRDefault="007F22E0">
          <w:pPr>
            <w:pStyle w:val="Footer"/>
            <w:rPr>
              <w:rFonts w:ascii="Arial" w:hAnsi="Arial"/>
              <w:b/>
              <w:sz w:val="24"/>
            </w:rPr>
          </w:pPr>
          <w:r>
            <w:rPr>
              <w:rFonts w:ascii="Arial" w:hAnsi="Arial"/>
              <w:b/>
              <w:sz w:val="24"/>
            </w:rPr>
            <w:t>Version</w:t>
          </w:r>
        </w:p>
      </w:tc>
      <w:tc>
        <w:tcPr>
          <w:tcW w:w="7200" w:type="dxa"/>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B072E5">
            <w:rPr>
              <w:rFonts w:ascii="Arial" w:hAnsi="Arial"/>
              <w:sz w:val="18"/>
            </w:rPr>
            <w:t>1.0</w:t>
          </w:r>
          <w:r>
            <w:rPr>
              <w:rFonts w:ascii="Arial" w:hAnsi="Arial"/>
              <w:sz w:val="18"/>
            </w:rPr>
            <w:fldChar w:fldCharType="end"/>
          </w:r>
        </w:p>
      </w:tc>
      <w:tc>
        <w:tcPr>
          <w:tcW w:w="930" w:type="dxa"/>
          <w:vAlign w:val="center"/>
        </w:tcPr>
        <w:p w:rsidR="007F22E0" w:rsidRDefault="007F22E0" w:rsidP="00B072E5">
          <w:pPr>
            <w:tabs>
              <w:tab w:val="center" w:pos="5232"/>
              <w:tab w:val="right" w:pos="10465"/>
            </w:tabs>
            <w:suppressAutoHyphens/>
            <w:jc w:val="right"/>
          </w:pPr>
          <w:r>
            <w:fldChar w:fldCharType="begin"/>
          </w:r>
          <w:r>
            <w:instrText>page \* arabic</w:instrText>
          </w:r>
          <w:r>
            <w:fldChar w:fldCharType="separate"/>
          </w:r>
          <w:r w:rsidR="000328A0">
            <w:rPr>
              <w:noProof/>
            </w:rPr>
            <w:t>6</w:t>
          </w:r>
          <w:r>
            <w:fldChar w:fldCharType="end"/>
          </w:r>
          <w:r>
            <w:t xml:space="preserve"> of </w:t>
          </w:r>
          <w:r w:rsidR="00B072E5">
            <w:t>6</w:t>
          </w:r>
        </w:p>
      </w:tc>
    </w:tr>
  </w:tbl>
  <w:p w:rsidR="007F22E0" w:rsidRDefault="007F2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2A0" w:rsidRDefault="003A52A0">
      <w:r>
        <w:separator/>
      </w:r>
    </w:p>
  </w:footnote>
  <w:footnote w:type="continuationSeparator" w:id="0">
    <w:p w:rsidR="003A52A0" w:rsidRDefault="003A5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15:restartNumberingAfterBreak="0">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15:restartNumberingAfterBreak="0">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FE1DB5"/>
    <w:multiLevelType w:val="hybridMultilevel"/>
    <w:tmpl w:val="C9D2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15:restartNumberingAfterBreak="0">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3"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num>
  <w:num w:numId="4">
    <w:abstractNumId w:val="9"/>
  </w:num>
  <w:num w:numId="5">
    <w:abstractNumId w:val="0"/>
  </w:num>
  <w:num w:numId="6">
    <w:abstractNumId w:val="12"/>
  </w:num>
  <w:num w:numId="7">
    <w:abstractNumId w:val="8"/>
  </w:num>
  <w:num w:numId="8">
    <w:abstractNumId w:val="6"/>
  </w:num>
  <w:num w:numId="9">
    <w:abstractNumId w:val="11"/>
  </w:num>
  <w:num w:numId="10">
    <w:abstractNumId w:val="15"/>
  </w:num>
  <w:num w:numId="11">
    <w:abstractNumId w:val="10"/>
  </w:num>
  <w:num w:numId="12">
    <w:abstractNumId w:val="5"/>
  </w:num>
  <w:num w:numId="13">
    <w:abstractNumId w:val="14"/>
  </w:num>
  <w:num w:numId="14">
    <w:abstractNumId w:val="1"/>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3627"/>
    <w:rsid w:val="000059CD"/>
    <w:rsid w:val="00006D91"/>
    <w:rsid w:val="000073EC"/>
    <w:rsid w:val="000076E2"/>
    <w:rsid w:val="0001137A"/>
    <w:rsid w:val="00012AC1"/>
    <w:rsid w:val="0001377E"/>
    <w:rsid w:val="00014D9F"/>
    <w:rsid w:val="00016FCA"/>
    <w:rsid w:val="000214A9"/>
    <w:rsid w:val="00023A77"/>
    <w:rsid w:val="00023FC7"/>
    <w:rsid w:val="00025361"/>
    <w:rsid w:val="00027192"/>
    <w:rsid w:val="00027417"/>
    <w:rsid w:val="000328A0"/>
    <w:rsid w:val="000330B0"/>
    <w:rsid w:val="0003379F"/>
    <w:rsid w:val="00034260"/>
    <w:rsid w:val="000342CA"/>
    <w:rsid w:val="00036C80"/>
    <w:rsid w:val="0003797B"/>
    <w:rsid w:val="0004455F"/>
    <w:rsid w:val="00044EB7"/>
    <w:rsid w:val="00044FDD"/>
    <w:rsid w:val="000453DD"/>
    <w:rsid w:val="00046C14"/>
    <w:rsid w:val="000478F9"/>
    <w:rsid w:val="000500B3"/>
    <w:rsid w:val="0005080E"/>
    <w:rsid w:val="0005784D"/>
    <w:rsid w:val="000629C0"/>
    <w:rsid w:val="00073168"/>
    <w:rsid w:val="0007487D"/>
    <w:rsid w:val="00075F4A"/>
    <w:rsid w:val="00077A38"/>
    <w:rsid w:val="000802CD"/>
    <w:rsid w:val="000864D4"/>
    <w:rsid w:val="000904A3"/>
    <w:rsid w:val="00090A39"/>
    <w:rsid w:val="00091573"/>
    <w:rsid w:val="000937C2"/>
    <w:rsid w:val="0009382C"/>
    <w:rsid w:val="0009688E"/>
    <w:rsid w:val="00096E49"/>
    <w:rsid w:val="000A0D20"/>
    <w:rsid w:val="000A2F0C"/>
    <w:rsid w:val="000A2F28"/>
    <w:rsid w:val="000A5451"/>
    <w:rsid w:val="000A55A3"/>
    <w:rsid w:val="000A5D24"/>
    <w:rsid w:val="000A636F"/>
    <w:rsid w:val="000A75BA"/>
    <w:rsid w:val="000B285E"/>
    <w:rsid w:val="000B78C8"/>
    <w:rsid w:val="000C07A7"/>
    <w:rsid w:val="000C08A6"/>
    <w:rsid w:val="000C1DC8"/>
    <w:rsid w:val="000C219F"/>
    <w:rsid w:val="000C278F"/>
    <w:rsid w:val="000C43BC"/>
    <w:rsid w:val="000C5F90"/>
    <w:rsid w:val="000C6E3F"/>
    <w:rsid w:val="000C7479"/>
    <w:rsid w:val="000C7AB6"/>
    <w:rsid w:val="000D05D1"/>
    <w:rsid w:val="000D1EF0"/>
    <w:rsid w:val="000D4B0F"/>
    <w:rsid w:val="000D6080"/>
    <w:rsid w:val="000E0ED8"/>
    <w:rsid w:val="000E175D"/>
    <w:rsid w:val="000E53E0"/>
    <w:rsid w:val="000E626B"/>
    <w:rsid w:val="000F3B24"/>
    <w:rsid w:val="000F477B"/>
    <w:rsid w:val="000F73B3"/>
    <w:rsid w:val="00100266"/>
    <w:rsid w:val="0010221A"/>
    <w:rsid w:val="001045C2"/>
    <w:rsid w:val="00104622"/>
    <w:rsid w:val="00105304"/>
    <w:rsid w:val="00112229"/>
    <w:rsid w:val="001139A6"/>
    <w:rsid w:val="00114951"/>
    <w:rsid w:val="001150C0"/>
    <w:rsid w:val="00115847"/>
    <w:rsid w:val="00117B13"/>
    <w:rsid w:val="001225DB"/>
    <w:rsid w:val="00123DD0"/>
    <w:rsid w:val="00125B6D"/>
    <w:rsid w:val="00125CFD"/>
    <w:rsid w:val="00130215"/>
    <w:rsid w:val="00130AFB"/>
    <w:rsid w:val="00131CB8"/>
    <w:rsid w:val="001321DC"/>
    <w:rsid w:val="00135BA3"/>
    <w:rsid w:val="00135D27"/>
    <w:rsid w:val="001364DC"/>
    <w:rsid w:val="00137367"/>
    <w:rsid w:val="00143845"/>
    <w:rsid w:val="00146E58"/>
    <w:rsid w:val="0015025F"/>
    <w:rsid w:val="0015034C"/>
    <w:rsid w:val="00150861"/>
    <w:rsid w:val="0015254C"/>
    <w:rsid w:val="00153B8D"/>
    <w:rsid w:val="001543A8"/>
    <w:rsid w:val="00154D85"/>
    <w:rsid w:val="00155A64"/>
    <w:rsid w:val="00156A17"/>
    <w:rsid w:val="00162350"/>
    <w:rsid w:val="00165525"/>
    <w:rsid w:val="00166A4E"/>
    <w:rsid w:val="00171501"/>
    <w:rsid w:val="00172E6A"/>
    <w:rsid w:val="0017433D"/>
    <w:rsid w:val="00177C76"/>
    <w:rsid w:val="0018025B"/>
    <w:rsid w:val="001813CA"/>
    <w:rsid w:val="001845D4"/>
    <w:rsid w:val="00186282"/>
    <w:rsid w:val="0018630E"/>
    <w:rsid w:val="001864EE"/>
    <w:rsid w:val="0019036C"/>
    <w:rsid w:val="00190C77"/>
    <w:rsid w:val="00196DAC"/>
    <w:rsid w:val="001A010F"/>
    <w:rsid w:val="001A0C71"/>
    <w:rsid w:val="001A1110"/>
    <w:rsid w:val="001A12D0"/>
    <w:rsid w:val="001A1929"/>
    <w:rsid w:val="001B23B8"/>
    <w:rsid w:val="001B2A16"/>
    <w:rsid w:val="001B4434"/>
    <w:rsid w:val="001B481B"/>
    <w:rsid w:val="001B49BE"/>
    <w:rsid w:val="001C5B87"/>
    <w:rsid w:val="001C7833"/>
    <w:rsid w:val="001D0139"/>
    <w:rsid w:val="001D5835"/>
    <w:rsid w:val="001D7BB3"/>
    <w:rsid w:val="001E117F"/>
    <w:rsid w:val="001E38BE"/>
    <w:rsid w:val="001E4A84"/>
    <w:rsid w:val="001E58AC"/>
    <w:rsid w:val="001E73DB"/>
    <w:rsid w:val="001F3008"/>
    <w:rsid w:val="001F4C52"/>
    <w:rsid w:val="001F55CF"/>
    <w:rsid w:val="001F682C"/>
    <w:rsid w:val="0020036B"/>
    <w:rsid w:val="002007E6"/>
    <w:rsid w:val="0020384E"/>
    <w:rsid w:val="00203BD1"/>
    <w:rsid w:val="00204CB8"/>
    <w:rsid w:val="00206BB7"/>
    <w:rsid w:val="0020781F"/>
    <w:rsid w:val="0021010F"/>
    <w:rsid w:val="00210B2B"/>
    <w:rsid w:val="002128C6"/>
    <w:rsid w:val="002138D9"/>
    <w:rsid w:val="002141CC"/>
    <w:rsid w:val="002147E7"/>
    <w:rsid w:val="00214F67"/>
    <w:rsid w:val="00216BBF"/>
    <w:rsid w:val="0022089C"/>
    <w:rsid w:val="002217D3"/>
    <w:rsid w:val="002231F2"/>
    <w:rsid w:val="00223371"/>
    <w:rsid w:val="00223D6E"/>
    <w:rsid w:val="002250C0"/>
    <w:rsid w:val="0022519F"/>
    <w:rsid w:val="00237C7C"/>
    <w:rsid w:val="002406AF"/>
    <w:rsid w:val="00242658"/>
    <w:rsid w:val="002428B0"/>
    <w:rsid w:val="002429B3"/>
    <w:rsid w:val="00243539"/>
    <w:rsid w:val="00244243"/>
    <w:rsid w:val="00244CCC"/>
    <w:rsid w:val="00246BBF"/>
    <w:rsid w:val="00247CE3"/>
    <w:rsid w:val="00247DEE"/>
    <w:rsid w:val="00254974"/>
    <w:rsid w:val="00256906"/>
    <w:rsid w:val="00257D91"/>
    <w:rsid w:val="00260462"/>
    <w:rsid w:val="002645B8"/>
    <w:rsid w:val="00264BEE"/>
    <w:rsid w:val="00265C8C"/>
    <w:rsid w:val="00266495"/>
    <w:rsid w:val="0026717D"/>
    <w:rsid w:val="002717A1"/>
    <w:rsid w:val="00272748"/>
    <w:rsid w:val="00273CB9"/>
    <w:rsid w:val="00274474"/>
    <w:rsid w:val="00274850"/>
    <w:rsid w:val="00275E50"/>
    <w:rsid w:val="0028140B"/>
    <w:rsid w:val="00283322"/>
    <w:rsid w:val="00285E68"/>
    <w:rsid w:val="0028619D"/>
    <w:rsid w:val="00286932"/>
    <w:rsid w:val="00291D9A"/>
    <w:rsid w:val="00292B7E"/>
    <w:rsid w:val="00293163"/>
    <w:rsid w:val="0029522E"/>
    <w:rsid w:val="00296B60"/>
    <w:rsid w:val="00297982"/>
    <w:rsid w:val="002B0A2B"/>
    <w:rsid w:val="002B242F"/>
    <w:rsid w:val="002B35E5"/>
    <w:rsid w:val="002B4200"/>
    <w:rsid w:val="002B547C"/>
    <w:rsid w:val="002B5C9F"/>
    <w:rsid w:val="002B618D"/>
    <w:rsid w:val="002B77AA"/>
    <w:rsid w:val="002C1A11"/>
    <w:rsid w:val="002C224F"/>
    <w:rsid w:val="002C3AE4"/>
    <w:rsid w:val="002C5688"/>
    <w:rsid w:val="002C75DF"/>
    <w:rsid w:val="002D0536"/>
    <w:rsid w:val="002D06E4"/>
    <w:rsid w:val="002D4C8E"/>
    <w:rsid w:val="002D7BB8"/>
    <w:rsid w:val="002E0421"/>
    <w:rsid w:val="002E16A3"/>
    <w:rsid w:val="002E1D9D"/>
    <w:rsid w:val="002E4E3C"/>
    <w:rsid w:val="002F02F3"/>
    <w:rsid w:val="002F0ACA"/>
    <w:rsid w:val="002F12A3"/>
    <w:rsid w:val="002F2C20"/>
    <w:rsid w:val="002F3973"/>
    <w:rsid w:val="002F448F"/>
    <w:rsid w:val="002F4632"/>
    <w:rsid w:val="002F70BF"/>
    <w:rsid w:val="00301969"/>
    <w:rsid w:val="00302A76"/>
    <w:rsid w:val="00303A9E"/>
    <w:rsid w:val="00304860"/>
    <w:rsid w:val="003078AB"/>
    <w:rsid w:val="003104E4"/>
    <w:rsid w:val="003107E0"/>
    <w:rsid w:val="00310E4F"/>
    <w:rsid w:val="0031343C"/>
    <w:rsid w:val="003135AC"/>
    <w:rsid w:val="003155EE"/>
    <w:rsid w:val="00316228"/>
    <w:rsid w:val="00316B32"/>
    <w:rsid w:val="0032115F"/>
    <w:rsid w:val="00321CE8"/>
    <w:rsid w:val="00322E8A"/>
    <w:rsid w:val="0032528B"/>
    <w:rsid w:val="00325757"/>
    <w:rsid w:val="0033019E"/>
    <w:rsid w:val="003310C5"/>
    <w:rsid w:val="003334A5"/>
    <w:rsid w:val="003338D8"/>
    <w:rsid w:val="00333A95"/>
    <w:rsid w:val="003349A8"/>
    <w:rsid w:val="00343469"/>
    <w:rsid w:val="00343B0E"/>
    <w:rsid w:val="00344EE8"/>
    <w:rsid w:val="00345290"/>
    <w:rsid w:val="00345DB5"/>
    <w:rsid w:val="00346886"/>
    <w:rsid w:val="003518A7"/>
    <w:rsid w:val="003538D5"/>
    <w:rsid w:val="00353B86"/>
    <w:rsid w:val="003568C7"/>
    <w:rsid w:val="0036103A"/>
    <w:rsid w:val="00362FD2"/>
    <w:rsid w:val="00363B0A"/>
    <w:rsid w:val="003648CC"/>
    <w:rsid w:val="0036703C"/>
    <w:rsid w:val="0036784D"/>
    <w:rsid w:val="00372682"/>
    <w:rsid w:val="00372D60"/>
    <w:rsid w:val="00373564"/>
    <w:rsid w:val="003757FD"/>
    <w:rsid w:val="00380C41"/>
    <w:rsid w:val="00381652"/>
    <w:rsid w:val="003830D3"/>
    <w:rsid w:val="00384335"/>
    <w:rsid w:val="00384DDA"/>
    <w:rsid w:val="00384F67"/>
    <w:rsid w:val="00390A6C"/>
    <w:rsid w:val="00390B19"/>
    <w:rsid w:val="00394941"/>
    <w:rsid w:val="00395398"/>
    <w:rsid w:val="00396E00"/>
    <w:rsid w:val="003A08FD"/>
    <w:rsid w:val="003A0E75"/>
    <w:rsid w:val="003A20EF"/>
    <w:rsid w:val="003A4EEC"/>
    <w:rsid w:val="003A52A0"/>
    <w:rsid w:val="003A5D06"/>
    <w:rsid w:val="003A7515"/>
    <w:rsid w:val="003B1C02"/>
    <w:rsid w:val="003B2FDA"/>
    <w:rsid w:val="003B4045"/>
    <w:rsid w:val="003B47F5"/>
    <w:rsid w:val="003C0866"/>
    <w:rsid w:val="003C27F0"/>
    <w:rsid w:val="003C2E87"/>
    <w:rsid w:val="003C4904"/>
    <w:rsid w:val="003C4B9A"/>
    <w:rsid w:val="003C5670"/>
    <w:rsid w:val="003C660F"/>
    <w:rsid w:val="003C6FA3"/>
    <w:rsid w:val="003C741C"/>
    <w:rsid w:val="003C7C19"/>
    <w:rsid w:val="003C7E6B"/>
    <w:rsid w:val="003D2356"/>
    <w:rsid w:val="003D2459"/>
    <w:rsid w:val="003D2EA5"/>
    <w:rsid w:val="003D3317"/>
    <w:rsid w:val="003D36E6"/>
    <w:rsid w:val="003D45BD"/>
    <w:rsid w:val="003D76C4"/>
    <w:rsid w:val="003E0C5D"/>
    <w:rsid w:val="003E67C1"/>
    <w:rsid w:val="003E7BB2"/>
    <w:rsid w:val="003F559A"/>
    <w:rsid w:val="004009FF"/>
    <w:rsid w:val="004021AF"/>
    <w:rsid w:val="00403BFF"/>
    <w:rsid w:val="00405409"/>
    <w:rsid w:val="0040627C"/>
    <w:rsid w:val="004062D4"/>
    <w:rsid w:val="00407759"/>
    <w:rsid w:val="00411772"/>
    <w:rsid w:val="004134AD"/>
    <w:rsid w:val="00416435"/>
    <w:rsid w:val="004166E7"/>
    <w:rsid w:val="004172EF"/>
    <w:rsid w:val="004201E6"/>
    <w:rsid w:val="004215DC"/>
    <w:rsid w:val="004248FC"/>
    <w:rsid w:val="004249CA"/>
    <w:rsid w:val="0043088F"/>
    <w:rsid w:val="004310EF"/>
    <w:rsid w:val="004313BC"/>
    <w:rsid w:val="00431431"/>
    <w:rsid w:val="00433A41"/>
    <w:rsid w:val="00434F0D"/>
    <w:rsid w:val="00436060"/>
    <w:rsid w:val="004366FE"/>
    <w:rsid w:val="00437B8F"/>
    <w:rsid w:val="00441B2A"/>
    <w:rsid w:val="004420D7"/>
    <w:rsid w:val="00442791"/>
    <w:rsid w:val="00443FA2"/>
    <w:rsid w:val="00444701"/>
    <w:rsid w:val="0044541D"/>
    <w:rsid w:val="00446516"/>
    <w:rsid w:val="00446FBF"/>
    <w:rsid w:val="004534C3"/>
    <w:rsid w:val="00453B73"/>
    <w:rsid w:val="0045518E"/>
    <w:rsid w:val="0045558D"/>
    <w:rsid w:val="0045654C"/>
    <w:rsid w:val="00460ECF"/>
    <w:rsid w:val="00462CF9"/>
    <w:rsid w:val="0046401A"/>
    <w:rsid w:val="0046425E"/>
    <w:rsid w:val="00465820"/>
    <w:rsid w:val="0048189F"/>
    <w:rsid w:val="004927A8"/>
    <w:rsid w:val="00497618"/>
    <w:rsid w:val="004978F6"/>
    <w:rsid w:val="004A386D"/>
    <w:rsid w:val="004A494C"/>
    <w:rsid w:val="004A6712"/>
    <w:rsid w:val="004B0191"/>
    <w:rsid w:val="004B1244"/>
    <w:rsid w:val="004B16D9"/>
    <w:rsid w:val="004B4A42"/>
    <w:rsid w:val="004B54F7"/>
    <w:rsid w:val="004C1479"/>
    <w:rsid w:val="004C2399"/>
    <w:rsid w:val="004C4EAB"/>
    <w:rsid w:val="004C51E5"/>
    <w:rsid w:val="004C6E81"/>
    <w:rsid w:val="004D14BB"/>
    <w:rsid w:val="004D1524"/>
    <w:rsid w:val="004D45C7"/>
    <w:rsid w:val="004D6C7F"/>
    <w:rsid w:val="004E01F6"/>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065B"/>
    <w:rsid w:val="00511348"/>
    <w:rsid w:val="0051323B"/>
    <w:rsid w:val="00515BF5"/>
    <w:rsid w:val="0051747F"/>
    <w:rsid w:val="00517D0E"/>
    <w:rsid w:val="0052189E"/>
    <w:rsid w:val="005227BD"/>
    <w:rsid w:val="00522C94"/>
    <w:rsid w:val="00522FBC"/>
    <w:rsid w:val="00523595"/>
    <w:rsid w:val="0052455E"/>
    <w:rsid w:val="00526D0D"/>
    <w:rsid w:val="005302C7"/>
    <w:rsid w:val="00533CFF"/>
    <w:rsid w:val="00533F2B"/>
    <w:rsid w:val="00535E81"/>
    <w:rsid w:val="00537677"/>
    <w:rsid w:val="00542824"/>
    <w:rsid w:val="0054299A"/>
    <w:rsid w:val="00542D7A"/>
    <w:rsid w:val="005435CA"/>
    <w:rsid w:val="00543D92"/>
    <w:rsid w:val="00547968"/>
    <w:rsid w:val="00547EB4"/>
    <w:rsid w:val="00550446"/>
    <w:rsid w:val="00550C36"/>
    <w:rsid w:val="00552353"/>
    <w:rsid w:val="00554213"/>
    <w:rsid w:val="00554891"/>
    <w:rsid w:val="00555369"/>
    <w:rsid w:val="00556FE5"/>
    <w:rsid w:val="005604AF"/>
    <w:rsid w:val="005614F5"/>
    <w:rsid w:val="00561739"/>
    <w:rsid w:val="00564A08"/>
    <w:rsid w:val="005664F2"/>
    <w:rsid w:val="00570389"/>
    <w:rsid w:val="005707CD"/>
    <w:rsid w:val="0057298F"/>
    <w:rsid w:val="00574FC7"/>
    <w:rsid w:val="00576EE9"/>
    <w:rsid w:val="005773A4"/>
    <w:rsid w:val="00581CF4"/>
    <w:rsid w:val="0058365F"/>
    <w:rsid w:val="00587F61"/>
    <w:rsid w:val="00590045"/>
    <w:rsid w:val="005917EB"/>
    <w:rsid w:val="00594EA3"/>
    <w:rsid w:val="00595536"/>
    <w:rsid w:val="00596187"/>
    <w:rsid w:val="00597693"/>
    <w:rsid w:val="005A1D0C"/>
    <w:rsid w:val="005A2195"/>
    <w:rsid w:val="005A509A"/>
    <w:rsid w:val="005A5F49"/>
    <w:rsid w:val="005B0AEA"/>
    <w:rsid w:val="005B32B0"/>
    <w:rsid w:val="005B5BD5"/>
    <w:rsid w:val="005B63FC"/>
    <w:rsid w:val="005C0734"/>
    <w:rsid w:val="005C36AC"/>
    <w:rsid w:val="005C4116"/>
    <w:rsid w:val="005C4646"/>
    <w:rsid w:val="005C506D"/>
    <w:rsid w:val="005C77BB"/>
    <w:rsid w:val="005C78B6"/>
    <w:rsid w:val="005D4144"/>
    <w:rsid w:val="005D56A7"/>
    <w:rsid w:val="005D5C93"/>
    <w:rsid w:val="005D6AE4"/>
    <w:rsid w:val="005E3852"/>
    <w:rsid w:val="005E48DF"/>
    <w:rsid w:val="005E4EED"/>
    <w:rsid w:val="005E5EB8"/>
    <w:rsid w:val="005F574C"/>
    <w:rsid w:val="005F7081"/>
    <w:rsid w:val="00600966"/>
    <w:rsid w:val="00600B21"/>
    <w:rsid w:val="00607F0E"/>
    <w:rsid w:val="00611D99"/>
    <w:rsid w:val="00614B0D"/>
    <w:rsid w:val="006220FA"/>
    <w:rsid w:val="00627137"/>
    <w:rsid w:val="00627BA2"/>
    <w:rsid w:val="0063173B"/>
    <w:rsid w:val="006337AC"/>
    <w:rsid w:val="0063420E"/>
    <w:rsid w:val="006344CA"/>
    <w:rsid w:val="00634AD4"/>
    <w:rsid w:val="0063591D"/>
    <w:rsid w:val="00636BA6"/>
    <w:rsid w:val="00645CE3"/>
    <w:rsid w:val="006460A5"/>
    <w:rsid w:val="006474B5"/>
    <w:rsid w:val="006511FA"/>
    <w:rsid w:val="00652B5F"/>
    <w:rsid w:val="00653501"/>
    <w:rsid w:val="006548A0"/>
    <w:rsid w:val="00655FDD"/>
    <w:rsid w:val="006566A4"/>
    <w:rsid w:val="006609D7"/>
    <w:rsid w:val="00660C7D"/>
    <w:rsid w:val="00661BC7"/>
    <w:rsid w:val="00663065"/>
    <w:rsid w:val="006727C9"/>
    <w:rsid w:val="00673356"/>
    <w:rsid w:val="006746FD"/>
    <w:rsid w:val="0067780E"/>
    <w:rsid w:val="00680665"/>
    <w:rsid w:val="00680723"/>
    <w:rsid w:val="00681336"/>
    <w:rsid w:val="006819A1"/>
    <w:rsid w:val="00682B8F"/>
    <w:rsid w:val="00682FF7"/>
    <w:rsid w:val="00684302"/>
    <w:rsid w:val="00684641"/>
    <w:rsid w:val="006854C0"/>
    <w:rsid w:val="00685A71"/>
    <w:rsid w:val="006860E4"/>
    <w:rsid w:val="006878C1"/>
    <w:rsid w:val="0069063C"/>
    <w:rsid w:val="00690F92"/>
    <w:rsid w:val="00691F5F"/>
    <w:rsid w:val="00693CFD"/>
    <w:rsid w:val="006945B0"/>
    <w:rsid w:val="00695318"/>
    <w:rsid w:val="006A428F"/>
    <w:rsid w:val="006A47DA"/>
    <w:rsid w:val="006B09AB"/>
    <w:rsid w:val="006B2BFF"/>
    <w:rsid w:val="006B30AA"/>
    <w:rsid w:val="006B343A"/>
    <w:rsid w:val="006B4B21"/>
    <w:rsid w:val="006B7958"/>
    <w:rsid w:val="006C6EB9"/>
    <w:rsid w:val="006D139A"/>
    <w:rsid w:val="006D1EB9"/>
    <w:rsid w:val="006D33E3"/>
    <w:rsid w:val="006D3D7F"/>
    <w:rsid w:val="006D4C97"/>
    <w:rsid w:val="006D5FAE"/>
    <w:rsid w:val="006D7AE7"/>
    <w:rsid w:val="006E02B0"/>
    <w:rsid w:val="006E224C"/>
    <w:rsid w:val="006E40DC"/>
    <w:rsid w:val="006E5EC2"/>
    <w:rsid w:val="006E7113"/>
    <w:rsid w:val="006F26E2"/>
    <w:rsid w:val="006F4B7F"/>
    <w:rsid w:val="006F69C8"/>
    <w:rsid w:val="0070007B"/>
    <w:rsid w:val="00702EC4"/>
    <w:rsid w:val="0070318E"/>
    <w:rsid w:val="00704DCD"/>
    <w:rsid w:val="0070512F"/>
    <w:rsid w:val="00706391"/>
    <w:rsid w:val="00710AB2"/>
    <w:rsid w:val="00710C59"/>
    <w:rsid w:val="007152E5"/>
    <w:rsid w:val="00715CF0"/>
    <w:rsid w:val="0071650B"/>
    <w:rsid w:val="00716B1D"/>
    <w:rsid w:val="007174A7"/>
    <w:rsid w:val="0072139B"/>
    <w:rsid w:val="00726C9B"/>
    <w:rsid w:val="007300EF"/>
    <w:rsid w:val="00730C09"/>
    <w:rsid w:val="0073281B"/>
    <w:rsid w:val="0073351B"/>
    <w:rsid w:val="007338BF"/>
    <w:rsid w:val="00733CE6"/>
    <w:rsid w:val="00737849"/>
    <w:rsid w:val="0074056F"/>
    <w:rsid w:val="00740ED4"/>
    <w:rsid w:val="0074565E"/>
    <w:rsid w:val="00747AE6"/>
    <w:rsid w:val="00747C23"/>
    <w:rsid w:val="007523F4"/>
    <w:rsid w:val="00752750"/>
    <w:rsid w:val="007527E0"/>
    <w:rsid w:val="00755451"/>
    <w:rsid w:val="007558A9"/>
    <w:rsid w:val="0076207B"/>
    <w:rsid w:val="00762463"/>
    <w:rsid w:val="0076261C"/>
    <w:rsid w:val="00762814"/>
    <w:rsid w:val="00765363"/>
    <w:rsid w:val="00767206"/>
    <w:rsid w:val="00767802"/>
    <w:rsid w:val="00770368"/>
    <w:rsid w:val="00771EF0"/>
    <w:rsid w:val="0077248B"/>
    <w:rsid w:val="007736F9"/>
    <w:rsid w:val="007754D8"/>
    <w:rsid w:val="00775AEC"/>
    <w:rsid w:val="0078039A"/>
    <w:rsid w:val="00782387"/>
    <w:rsid w:val="00785689"/>
    <w:rsid w:val="00791074"/>
    <w:rsid w:val="007912BE"/>
    <w:rsid w:val="007915DB"/>
    <w:rsid w:val="00793C68"/>
    <w:rsid w:val="00795BD3"/>
    <w:rsid w:val="007A02F8"/>
    <w:rsid w:val="007A0B57"/>
    <w:rsid w:val="007A382F"/>
    <w:rsid w:val="007A50D4"/>
    <w:rsid w:val="007A5181"/>
    <w:rsid w:val="007A59E6"/>
    <w:rsid w:val="007A5D38"/>
    <w:rsid w:val="007B19EA"/>
    <w:rsid w:val="007B41BA"/>
    <w:rsid w:val="007B46A4"/>
    <w:rsid w:val="007B5EA5"/>
    <w:rsid w:val="007B7BCB"/>
    <w:rsid w:val="007C22AC"/>
    <w:rsid w:val="007C5543"/>
    <w:rsid w:val="007C5834"/>
    <w:rsid w:val="007C5D2A"/>
    <w:rsid w:val="007C6102"/>
    <w:rsid w:val="007D0BB5"/>
    <w:rsid w:val="007D3F96"/>
    <w:rsid w:val="007D735B"/>
    <w:rsid w:val="007E0E63"/>
    <w:rsid w:val="007E190D"/>
    <w:rsid w:val="007E2504"/>
    <w:rsid w:val="007E2C1B"/>
    <w:rsid w:val="007E4457"/>
    <w:rsid w:val="007E567E"/>
    <w:rsid w:val="007E645C"/>
    <w:rsid w:val="007F22E0"/>
    <w:rsid w:val="007F2815"/>
    <w:rsid w:val="00801316"/>
    <w:rsid w:val="0080188B"/>
    <w:rsid w:val="00803552"/>
    <w:rsid w:val="00805A27"/>
    <w:rsid w:val="00812031"/>
    <w:rsid w:val="00813496"/>
    <w:rsid w:val="00813546"/>
    <w:rsid w:val="00815BF2"/>
    <w:rsid w:val="00815FF5"/>
    <w:rsid w:val="008179F9"/>
    <w:rsid w:val="008221A0"/>
    <w:rsid w:val="008227B1"/>
    <w:rsid w:val="008234B2"/>
    <w:rsid w:val="0082596A"/>
    <w:rsid w:val="00825E3F"/>
    <w:rsid w:val="00825F65"/>
    <w:rsid w:val="008277DA"/>
    <w:rsid w:val="00830FEB"/>
    <w:rsid w:val="00832A74"/>
    <w:rsid w:val="008367AD"/>
    <w:rsid w:val="00837208"/>
    <w:rsid w:val="008419F1"/>
    <w:rsid w:val="00843661"/>
    <w:rsid w:val="00850BAA"/>
    <w:rsid w:val="00851847"/>
    <w:rsid w:val="0085364E"/>
    <w:rsid w:val="0086354C"/>
    <w:rsid w:val="008640F8"/>
    <w:rsid w:val="00864E06"/>
    <w:rsid w:val="00866A15"/>
    <w:rsid w:val="00870179"/>
    <w:rsid w:val="00871FA0"/>
    <w:rsid w:val="008742EE"/>
    <w:rsid w:val="00875845"/>
    <w:rsid w:val="008758B4"/>
    <w:rsid w:val="00876413"/>
    <w:rsid w:val="00877FE3"/>
    <w:rsid w:val="00880A2C"/>
    <w:rsid w:val="00881762"/>
    <w:rsid w:val="008829D4"/>
    <w:rsid w:val="00882DB7"/>
    <w:rsid w:val="00882ECC"/>
    <w:rsid w:val="008872E1"/>
    <w:rsid w:val="008876BE"/>
    <w:rsid w:val="00890B1D"/>
    <w:rsid w:val="008914C7"/>
    <w:rsid w:val="008A18E8"/>
    <w:rsid w:val="008A27BF"/>
    <w:rsid w:val="008A67E0"/>
    <w:rsid w:val="008B2DFB"/>
    <w:rsid w:val="008C06E4"/>
    <w:rsid w:val="008C09C2"/>
    <w:rsid w:val="008C3249"/>
    <w:rsid w:val="008C68F0"/>
    <w:rsid w:val="008C7525"/>
    <w:rsid w:val="008C77BA"/>
    <w:rsid w:val="008D0AF4"/>
    <w:rsid w:val="008D31F5"/>
    <w:rsid w:val="008D326B"/>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67E2"/>
    <w:rsid w:val="0091070B"/>
    <w:rsid w:val="00910F5C"/>
    <w:rsid w:val="00912D67"/>
    <w:rsid w:val="009142DD"/>
    <w:rsid w:val="00914FF6"/>
    <w:rsid w:val="00915B2A"/>
    <w:rsid w:val="00916652"/>
    <w:rsid w:val="009166E4"/>
    <w:rsid w:val="00920BB9"/>
    <w:rsid w:val="009239EF"/>
    <w:rsid w:val="00926703"/>
    <w:rsid w:val="00932057"/>
    <w:rsid w:val="00933794"/>
    <w:rsid w:val="00935789"/>
    <w:rsid w:val="00936AE3"/>
    <w:rsid w:val="00937B8A"/>
    <w:rsid w:val="009406F6"/>
    <w:rsid w:val="00942AB1"/>
    <w:rsid w:val="009445E9"/>
    <w:rsid w:val="00944B79"/>
    <w:rsid w:val="00945882"/>
    <w:rsid w:val="009502C1"/>
    <w:rsid w:val="009534B8"/>
    <w:rsid w:val="00961181"/>
    <w:rsid w:val="0096119F"/>
    <w:rsid w:val="009627E4"/>
    <w:rsid w:val="00964F20"/>
    <w:rsid w:val="00965A9C"/>
    <w:rsid w:val="00966E3E"/>
    <w:rsid w:val="009675C7"/>
    <w:rsid w:val="00967BC2"/>
    <w:rsid w:val="009708C5"/>
    <w:rsid w:val="0097204B"/>
    <w:rsid w:val="00972288"/>
    <w:rsid w:val="00976247"/>
    <w:rsid w:val="009837BB"/>
    <w:rsid w:val="009844EA"/>
    <w:rsid w:val="009858B6"/>
    <w:rsid w:val="0098640D"/>
    <w:rsid w:val="00986463"/>
    <w:rsid w:val="009905A7"/>
    <w:rsid w:val="00992C69"/>
    <w:rsid w:val="00994B86"/>
    <w:rsid w:val="009A4DFC"/>
    <w:rsid w:val="009A5DDC"/>
    <w:rsid w:val="009A6621"/>
    <w:rsid w:val="009A69B4"/>
    <w:rsid w:val="009B5998"/>
    <w:rsid w:val="009C0634"/>
    <w:rsid w:val="009C0B43"/>
    <w:rsid w:val="009C24B6"/>
    <w:rsid w:val="009C2CAE"/>
    <w:rsid w:val="009C5265"/>
    <w:rsid w:val="009C6160"/>
    <w:rsid w:val="009C6BF3"/>
    <w:rsid w:val="009C7466"/>
    <w:rsid w:val="009C7E4D"/>
    <w:rsid w:val="009D069F"/>
    <w:rsid w:val="009D33A2"/>
    <w:rsid w:val="009D395B"/>
    <w:rsid w:val="009D5A92"/>
    <w:rsid w:val="009D623B"/>
    <w:rsid w:val="009D6312"/>
    <w:rsid w:val="009E4060"/>
    <w:rsid w:val="009E528A"/>
    <w:rsid w:val="009F10A5"/>
    <w:rsid w:val="009F2677"/>
    <w:rsid w:val="009F3D0B"/>
    <w:rsid w:val="009F3D23"/>
    <w:rsid w:val="00A04635"/>
    <w:rsid w:val="00A071DE"/>
    <w:rsid w:val="00A07B36"/>
    <w:rsid w:val="00A106E7"/>
    <w:rsid w:val="00A12CDA"/>
    <w:rsid w:val="00A15965"/>
    <w:rsid w:val="00A16004"/>
    <w:rsid w:val="00A23116"/>
    <w:rsid w:val="00A2573D"/>
    <w:rsid w:val="00A26B05"/>
    <w:rsid w:val="00A30387"/>
    <w:rsid w:val="00A36300"/>
    <w:rsid w:val="00A41985"/>
    <w:rsid w:val="00A41CF0"/>
    <w:rsid w:val="00A4278A"/>
    <w:rsid w:val="00A50D75"/>
    <w:rsid w:val="00A5160D"/>
    <w:rsid w:val="00A55BC8"/>
    <w:rsid w:val="00A56DA4"/>
    <w:rsid w:val="00A56FA8"/>
    <w:rsid w:val="00A605C0"/>
    <w:rsid w:val="00A6209D"/>
    <w:rsid w:val="00A65084"/>
    <w:rsid w:val="00A65952"/>
    <w:rsid w:val="00A661E2"/>
    <w:rsid w:val="00A66BBD"/>
    <w:rsid w:val="00A67B2F"/>
    <w:rsid w:val="00A67B41"/>
    <w:rsid w:val="00A67C80"/>
    <w:rsid w:val="00A74BB5"/>
    <w:rsid w:val="00A75B1A"/>
    <w:rsid w:val="00A77112"/>
    <w:rsid w:val="00A8018E"/>
    <w:rsid w:val="00A806C4"/>
    <w:rsid w:val="00A81885"/>
    <w:rsid w:val="00A82815"/>
    <w:rsid w:val="00A835E4"/>
    <w:rsid w:val="00A844A5"/>
    <w:rsid w:val="00A853EE"/>
    <w:rsid w:val="00A909AC"/>
    <w:rsid w:val="00A9246E"/>
    <w:rsid w:val="00A94072"/>
    <w:rsid w:val="00A95CDF"/>
    <w:rsid w:val="00A9700C"/>
    <w:rsid w:val="00A97355"/>
    <w:rsid w:val="00A97B50"/>
    <w:rsid w:val="00AA09B3"/>
    <w:rsid w:val="00AA2871"/>
    <w:rsid w:val="00AA4CF1"/>
    <w:rsid w:val="00AA5248"/>
    <w:rsid w:val="00AB07BE"/>
    <w:rsid w:val="00AB0E8D"/>
    <w:rsid w:val="00AB353A"/>
    <w:rsid w:val="00AD170F"/>
    <w:rsid w:val="00AD2221"/>
    <w:rsid w:val="00AD30F5"/>
    <w:rsid w:val="00AD32AD"/>
    <w:rsid w:val="00AD5142"/>
    <w:rsid w:val="00AD5A0D"/>
    <w:rsid w:val="00AD67A0"/>
    <w:rsid w:val="00AD7DB4"/>
    <w:rsid w:val="00AE3E47"/>
    <w:rsid w:val="00AE46D6"/>
    <w:rsid w:val="00AE7DEF"/>
    <w:rsid w:val="00AF19C2"/>
    <w:rsid w:val="00AF27DE"/>
    <w:rsid w:val="00AF6ABE"/>
    <w:rsid w:val="00AF6F21"/>
    <w:rsid w:val="00B00561"/>
    <w:rsid w:val="00B015E3"/>
    <w:rsid w:val="00B03582"/>
    <w:rsid w:val="00B03A56"/>
    <w:rsid w:val="00B0491E"/>
    <w:rsid w:val="00B072E5"/>
    <w:rsid w:val="00B07509"/>
    <w:rsid w:val="00B1204C"/>
    <w:rsid w:val="00B12988"/>
    <w:rsid w:val="00B13BC1"/>
    <w:rsid w:val="00B1701E"/>
    <w:rsid w:val="00B20265"/>
    <w:rsid w:val="00B20B5C"/>
    <w:rsid w:val="00B20F5A"/>
    <w:rsid w:val="00B21C69"/>
    <w:rsid w:val="00B229F4"/>
    <w:rsid w:val="00B23114"/>
    <w:rsid w:val="00B25656"/>
    <w:rsid w:val="00B31029"/>
    <w:rsid w:val="00B334C3"/>
    <w:rsid w:val="00B37298"/>
    <w:rsid w:val="00B513B7"/>
    <w:rsid w:val="00B514DA"/>
    <w:rsid w:val="00B5154A"/>
    <w:rsid w:val="00B52735"/>
    <w:rsid w:val="00B52BA5"/>
    <w:rsid w:val="00B53A73"/>
    <w:rsid w:val="00B55215"/>
    <w:rsid w:val="00B61696"/>
    <w:rsid w:val="00B6216A"/>
    <w:rsid w:val="00B62C8F"/>
    <w:rsid w:val="00B63298"/>
    <w:rsid w:val="00B63EC8"/>
    <w:rsid w:val="00B64195"/>
    <w:rsid w:val="00B65A22"/>
    <w:rsid w:val="00B6606B"/>
    <w:rsid w:val="00B67A17"/>
    <w:rsid w:val="00B67CB7"/>
    <w:rsid w:val="00B70FCB"/>
    <w:rsid w:val="00B723AA"/>
    <w:rsid w:val="00B735F4"/>
    <w:rsid w:val="00B73EEA"/>
    <w:rsid w:val="00B76D55"/>
    <w:rsid w:val="00B81B6F"/>
    <w:rsid w:val="00B83114"/>
    <w:rsid w:val="00B83C9B"/>
    <w:rsid w:val="00B83D47"/>
    <w:rsid w:val="00B922F3"/>
    <w:rsid w:val="00B92A4F"/>
    <w:rsid w:val="00B92E57"/>
    <w:rsid w:val="00B93EC1"/>
    <w:rsid w:val="00B94B68"/>
    <w:rsid w:val="00B958E8"/>
    <w:rsid w:val="00B96F97"/>
    <w:rsid w:val="00B973D5"/>
    <w:rsid w:val="00B97496"/>
    <w:rsid w:val="00B9753F"/>
    <w:rsid w:val="00BA0078"/>
    <w:rsid w:val="00BA12BD"/>
    <w:rsid w:val="00BA1845"/>
    <w:rsid w:val="00BA2F2C"/>
    <w:rsid w:val="00BA5827"/>
    <w:rsid w:val="00BA643F"/>
    <w:rsid w:val="00BA654A"/>
    <w:rsid w:val="00BA7823"/>
    <w:rsid w:val="00BB00E4"/>
    <w:rsid w:val="00BB02AE"/>
    <w:rsid w:val="00BB61A2"/>
    <w:rsid w:val="00BB7A8A"/>
    <w:rsid w:val="00BC33DB"/>
    <w:rsid w:val="00BC7D5F"/>
    <w:rsid w:val="00BD0BE1"/>
    <w:rsid w:val="00BD12CC"/>
    <w:rsid w:val="00BD1792"/>
    <w:rsid w:val="00BD2BB6"/>
    <w:rsid w:val="00BD2D13"/>
    <w:rsid w:val="00BD3F7D"/>
    <w:rsid w:val="00BD4EC8"/>
    <w:rsid w:val="00BD6352"/>
    <w:rsid w:val="00BE1ADF"/>
    <w:rsid w:val="00BE3BB2"/>
    <w:rsid w:val="00BE5BD2"/>
    <w:rsid w:val="00BE6D19"/>
    <w:rsid w:val="00BE7E29"/>
    <w:rsid w:val="00BF0C0A"/>
    <w:rsid w:val="00BF255C"/>
    <w:rsid w:val="00BF43B4"/>
    <w:rsid w:val="00BF5089"/>
    <w:rsid w:val="00BF6D82"/>
    <w:rsid w:val="00BF79D0"/>
    <w:rsid w:val="00BF7AFE"/>
    <w:rsid w:val="00C0202A"/>
    <w:rsid w:val="00C02F36"/>
    <w:rsid w:val="00C05BBC"/>
    <w:rsid w:val="00C100F2"/>
    <w:rsid w:val="00C12034"/>
    <w:rsid w:val="00C16853"/>
    <w:rsid w:val="00C17FA3"/>
    <w:rsid w:val="00C23DAA"/>
    <w:rsid w:val="00C24F41"/>
    <w:rsid w:val="00C260F5"/>
    <w:rsid w:val="00C314CF"/>
    <w:rsid w:val="00C337E2"/>
    <w:rsid w:val="00C36339"/>
    <w:rsid w:val="00C41073"/>
    <w:rsid w:val="00C411E2"/>
    <w:rsid w:val="00C428FC"/>
    <w:rsid w:val="00C45198"/>
    <w:rsid w:val="00C46A01"/>
    <w:rsid w:val="00C55BEE"/>
    <w:rsid w:val="00C5658B"/>
    <w:rsid w:val="00C57F11"/>
    <w:rsid w:val="00C60A41"/>
    <w:rsid w:val="00C60F91"/>
    <w:rsid w:val="00C61BFB"/>
    <w:rsid w:val="00C62754"/>
    <w:rsid w:val="00C66DD5"/>
    <w:rsid w:val="00C67A1B"/>
    <w:rsid w:val="00C701A7"/>
    <w:rsid w:val="00C70FFC"/>
    <w:rsid w:val="00C72D7F"/>
    <w:rsid w:val="00C735E2"/>
    <w:rsid w:val="00C763AF"/>
    <w:rsid w:val="00C810F1"/>
    <w:rsid w:val="00C83535"/>
    <w:rsid w:val="00C838B8"/>
    <w:rsid w:val="00C83CB4"/>
    <w:rsid w:val="00C85F09"/>
    <w:rsid w:val="00C870CB"/>
    <w:rsid w:val="00C926F7"/>
    <w:rsid w:val="00C937B6"/>
    <w:rsid w:val="00C93ED9"/>
    <w:rsid w:val="00C940C8"/>
    <w:rsid w:val="00CA0DF2"/>
    <w:rsid w:val="00CA30B9"/>
    <w:rsid w:val="00CA3D33"/>
    <w:rsid w:val="00CA5B91"/>
    <w:rsid w:val="00CA5D9B"/>
    <w:rsid w:val="00CA6031"/>
    <w:rsid w:val="00CA6535"/>
    <w:rsid w:val="00CB076A"/>
    <w:rsid w:val="00CB1041"/>
    <w:rsid w:val="00CB2ECD"/>
    <w:rsid w:val="00CB329B"/>
    <w:rsid w:val="00CB487C"/>
    <w:rsid w:val="00CB6737"/>
    <w:rsid w:val="00CC68F0"/>
    <w:rsid w:val="00CD07D4"/>
    <w:rsid w:val="00CD2401"/>
    <w:rsid w:val="00CD343B"/>
    <w:rsid w:val="00CD5832"/>
    <w:rsid w:val="00CD729E"/>
    <w:rsid w:val="00CE236A"/>
    <w:rsid w:val="00CE4D6C"/>
    <w:rsid w:val="00CF0519"/>
    <w:rsid w:val="00CF0ADF"/>
    <w:rsid w:val="00CF120B"/>
    <w:rsid w:val="00CF1878"/>
    <w:rsid w:val="00CF31EB"/>
    <w:rsid w:val="00CF5037"/>
    <w:rsid w:val="00D00C74"/>
    <w:rsid w:val="00D00CEE"/>
    <w:rsid w:val="00D0356F"/>
    <w:rsid w:val="00D05283"/>
    <w:rsid w:val="00D06B1D"/>
    <w:rsid w:val="00D10D01"/>
    <w:rsid w:val="00D10FA0"/>
    <w:rsid w:val="00D1763E"/>
    <w:rsid w:val="00D23880"/>
    <w:rsid w:val="00D256C3"/>
    <w:rsid w:val="00D25DFB"/>
    <w:rsid w:val="00D26048"/>
    <w:rsid w:val="00D2682E"/>
    <w:rsid w:val="00D26CD5"/>
    <w:rsid w:val="00D300C6"/>
    <w:rsid w:val="00D32670"/>
    <w:rsid w:val="00D35F3C"/>
    <w:rsid w:val="00D45071"/>
    <w:rsid w:val="00D50AD8"/>
    <w:rsid w:val="00D519EA"/>
    <w:rsid w:val="00D52556"/>
    <w:rsid w:val="00D5281E"/>
    <w:rsid w:val="00D53089"/>
    <w:rsid w:val="00D60CB8"/>
    <w:rsid w:val="00D619CA"/>
    <w:rsid w:val="00D62581"/>
    <w:rsid w:val="00D63C3F"/>
    <w:rsid w:val="00D64BB6"/>
    <w:rsid w:val="00D702B4"/>
    <w:rsid w:val="00D73A75"/>
    <w:rsid w:val="00D75022"/>
    <w:rsid w:val="00D766AA"/>
    <w:rsid w:val="00D77864"/>
    <w:rsid w:val="00D8003C"/>
    <w:rsid w:val="00D83397"/>
    <w:rsid w:val="00D86166"/>
    <w:rsid w:val="00D86181"/>
    <w:rsid w:val="00D86AFC"/>
    <w:rsid w:val="00D8740C"/>
    <w:rsid w:val="00D877D4"/>
    <w:rsid w:val="00D90EAA"/>
    <w:rsid w:val="00D93C98"/>
    <w:rsid w:val="00D95323"/>
    <w:rsid w:val="00D974A4"/>
    <w:rsid w:val="00D97CE4"/>
    <w:rsid w:val="00DA1238"/>
    <w:rsid w:val="00DA2F2E"/>
    <w:rsid w:val="00DA3576"/>
    <w:rsid w:val="00DA4804"/>
    <w:rsid w:val="00DA651B"/>
    <w:rsid w:val="00DA7BB4"/>
    <w:rsid w:val="00DB0B2D"/>
    <w:rsid w:val="00DB1507"/>
    <w:rsid w:val="00DB3963"/>
    <w:rsid w:val="00DB44B0"/>
    <w:rsid w:val="00DB5EB5"/>
    <w:rsid w:val="00DB63F3"/>
    <w:rsid w:val="00DC00E8"/>
    <w:rsid w:val="00DC3DE6"/>
    <w:rsid w:val="00DC4968"/>
    <w:rsid w:val="00DC6194"/>
    <w:rsid w:val="00DC7BC7"/>
    <w:rsid w:val="00DD1729"/>
    <w:rsid w:val="00DD243B"/>
    <w:rsid w:val="00DD39CA"/>
    <w:rsid w:val="00DD3C87"/>
    <w:rsid w:val="00DD4514"/>
    <w:rsid w:val="00DD46D4"/>
    <w:rsid w:val="00DD5E7A"/>
    <w:rsid w:val="00DD5E91"/>
    <w:rsid w:val="00DD6F83"/>
    <w:rsid w:val="00DD776E"/>
    <w:rsid w:val="00DE1019"/>
    <w:rsid w:val="00DE24B3"/>
    <w:rsid w:val="00DE2954"/>
    <w:rsid w:val="00DE6EE4"/>
    <w:rsid w:val="00DE7BCA"/>
    <w:rsid w:val="00DF1602"/>
    <w:rsid w:val="00DF1797"/>
    <w:rsid w:val="00DF1D9F"/>
    <w:rsid w:val="00DF22A0"/>
    <w:rsid w:val="00DF314C"/>
    <w:rsid w:val="00DF3161"/>
    <w:rsid w:val="00DF5554"/>
    <w:rsid w:val="00DF5993"/>
    <w:rsid w:val="00DF5F8F"/>
    <w:rsid w:val="00DF724C"/>
    <w:rsid w:val="00DF7262"/>
    <w:rsid w:val="00E0061E"/>
    <w:rsid w:val="00E00846"/>
    <w:rsid w:val="00E01FAB"/>
    <w:rsid w:val="00E03640"/>
    <w:rsid w:val="00E05B44"/>
    <w:rsid w:val="00E05C5D"/>
    <w:rsid w:val="00E109CA"/>
    <w:rsid w:val="00E12B34"/>
    <w:rsid w:val="00E1300B"/>
    <w:rsid w:val="00E13454"/>
    <w:rsid w:val="00E14BA7"/>
    <w:rsid w:val="00E16503"/>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0C5"/>
    <w:rsid w:val="00E435CC"/>
    <w:rsid w:val="00E47A68"/>
    <w:rsid w:val="00E50CF5"/>
    <w:rsid w:val="00E53948"/>
    <w:rsid w:val="00E54033"/>
    <w:rsid w:val="00E54F9E"/>
    <w:rsid w:val="00E5522B"/>
    <w:rsid w:val="00E56094"/>
    <w:rsid w:val="00E56F0F"/>
    <w:rsid w:val="00E61432"/>
    <w:rsid w:val="00E626D3"/>
    <w:rsid w:val="00E6733B"/>
    <w:rsid w:val="00E70A92"/>
    <w:rsid w:val="00E7116B"/>
    <w:rsid w:val="00E7265F"/>
    <w:rsid w:val="00E73972"/>
    <w:rsid w:val="00E748D7"/>
    <w:rsid w:val="00E77276"/>
    <w:rsid w:val="00E80578"/>
    <w:rsid w:val="00E83133"/>
    <w:rsid w:val="00E842B7"/>
    <w:rsid w:val="00E849F6"/>
    <w:rsid w:val="00E85F43"/>
    <w:rsid w:val="00E932D5"/>
    <w:rsid w:val="00E9349E"/>
    <w:rsid w:val="00E93A8C"/>
    <w:rsid w:val="00E941A4"/>
    <w:rsid w:val="00E9753C"/>
    <w:rsid w:val="00EA00B2"/>
    <w:rsid w:val="00EA0CA7"/>
    <w:rsid w:val="00EB0CB0"/>
    <w:rsid w:val="00EB44B2"/>
    <w:rsid w:val="00EB5000"/>
    <w:rsid w:val="00EB6925"/>
    <w:rsid w:val="00EB7787"/>
    <w:rsid w:val="00EB786D"/>
    <w:rsid w:val="00EB7FCE"/>
    <w:rsid w:val="00EC0FE9"/>
    <w:rsid w:val="00EC31E2"/>
    <w:rsid w:val="00EC3B07"/>
    <w:rsid w:val="00EC43BD"/>
    <w:rsid w:val="00EC4435"/>
    <w:rsid w:val="00EC4E74"/>
    <w:rsid w:val="00EC52D0"/>
    <w:rsid w:val="00EC6830"/>
    <w:rsid w:val="00ED0AA5"/>
    <w:rsid w:val="00ED1C45"/>
    <w:rsid w:val="00ED2776"/>
    <w:rsid w:val="00ED3952"/>
    <w:rsid w:val="00ED672E"/>
    <w:rsid w:val="00ED7900"/>
    <w:rsid w:val="00EE0528"/>
    <w:rsid w:val="00EE0AC9"/>
    <w:rsid w:val="00EE25B5"/>
    <w:rsid w:val="00EE3738"/>
    <w:rsid w:val="00EE438B"/>
    <w:rsid w:val="00EE4A91"/>
    <w:rsid w:val="00EE5ADD"/>
    <w:rsid w:val="00EE5E22"/>
    <w:rsid w:val="00EE6800"/>
    <w:rsid w:val="00EE7914"/>
    <w:rsid w:val="00EF06D5"/>
    <w:rsid w:val="00EF077A"/>
    <w:rsid w:val="00EF21DE"/>
    <w:rsid w:val="00EF2A93"/>
    <w:rsid w:val="00EF5F3F"/>
    <w:rsid w:val="00EF738F"/>
    <w:rsid w:val="00EF79B6"/>
    <w:rsid w:val="00F02C10"/>
    <w:rsid w:val="00F03127"/>
    <w:rsid w:val="00F0348F"/>
    <w:rsid w:val="00F0391C"/>
    <w:rsid w:val="00F03B86"/>
    <w:rsid w:val="00F0609D"/>
    <w:rsid w:val="00F068AF"/>
    <w:rsid w:val="00F06E53"/>
    <w:rsid w:val="00F0734D"/>
    <w:rsid w:val="00F078A4"/>
    <w:rsid w:val="00F078F8"/>
    <w:rsid w:val="00F07BD9"/>
    <w:rsid w:val="00F11B0D"/>
    <w:rsid w:val="00F11F5B"/>
    <w:rsid w:val="00F120CC"/>
    <w:rsid w:val="00F1326B"/>
    <w:rsid w:val="00F16DEB"/>
    <w:rsid w:val="00F20FAF"/>
    <w:rsid w:val="00F220B4"/>
    <w:rsid w:val="00F220C3"/>
    <w:rsid w:val="00F224E2"/>
    <w:rsid w:val="00F26F60"/>
    <w:rsid w:val="00F336DA"/>
    <w:rsid w:val="00F350A6"/>
    <w:rsid w:val="00F35ABB"/>
    <w:rsid w:val="00F35DAC"/>
    <w:rsid w:val="00F40D33"/>
    <w:rsid w:val="00F40D58"/>
    <w:rsid w:val="00F436A2"/>
    <w:rsid w:val="00F43E04"/>
    <w:rsid w:val="00F47B8D"/>
    <w:rsid w:val="00F50581"/>
    <w:rsid w:val="00F512DA"/>
    <w:rsid w:val="00F54EDD"/>
    <w:rsid w:val="00F5505E"/>
    <w:rsid w:val="00F55BE0"/>
    <w:rsid w:val="00F56ADC"/>
    <w:rsid w:val="00F602B4"/>
    <w:rsid w:val="00F62585"/>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4B9F"/>
    <w:rsid w:val="00F9553A"/>
    <w:rsid w:val="00F9662D"/>
    <w:rsid w:val="00F97CA1"/>
    <w:rsid w:val="00FA1FBB"/>
    <w:rsid w:val="00FA369E"/>
    <w:rsid w:val="00FA5CCF"/>
    <w:rsid w:val="00FA70D6"/>
    <w:rsid w:val="00FA76DF"/>
    <w:rsid w:val="00FB38D9"/>
    <w:rsid w:val="00FB3C0A"/>
    <w:rsid w:val="00FB53A9"/>
    <w:rsid w:val="00FB5A8E"/>
    <w:rsid w:val="00FB5DE8"/>
    <w:rsid w:val="00FB669D"/>
    <w:rsid w:val="00FB72CC"/>
    <w:rsid w:val="00FB782D"/>
    <w:rsid w:val="00FC18DF"/>
    <w:rsid w:val="00FC2578"/>
    <w:rsid w:val="00FC2B1A"/>
    <w:rsid w:val="00FC2B70"/>
    <w:rsid w:val="00FC32AE"/>
    <w:rsid w:val="00FC5222"/>
    <w:rsid w:val="00FC6250"/>
    <w:rsid w:val="00FD34FB"/>
    <w:rsid w:val="00FD35E9"/>
    <w:rsid w:val="00FD5AD7"/>
    <w:rsid w:val="00FE18F5"/>
    <w:rsid w:val="00FE1CCA"/>
    <w:rsid w:val="00FE7F8A"/>
    <w:rsid w:val="00FF109B"/>
    <w:rsid w:val="00FF2BF8"/>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6C74AE-AD1A-45FA-8D48-1094419A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character" w:customStyle="1" w:styleId="Heading3Char">
    <w:name w:val="Heading 3 Char"/>
    <w:link w:val="Heading3"/>
    <w:rsid w:val="004B54F7"/>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34983">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 w:id="139142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BE196-B573-4BA1-9B19-59A2CB41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39</TotalTime>
  <Pages>6</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DL and CL Allocation Batches</dc:subject>
  <dc:creator>DCP</dc:creator>
  <cp:keywords>1.0</cp:keywords>
  <dc:description>This service pack updates Debtors Ledger and Creditors Ledger to parameterise the type of allocation batches that are created.</dc:description>
  <cp:lastModifiedBy>Penfold, Dan</cp:lastModifiedBy>
  <cp:revision>15</cp:revision>
  <cp:lastPrinted>2002-03-05T14:24:00Z</cp:lastPrinted>
  <dcterms:created xsi:type="dcterms:W3CDTF">2017-02-13T15:37:00Z</dcterms:created>
  <dcterms:modified xsi:type="dcterms:W3CDTF">2017-02-13T16:43:00Z</dcterms:modified>
</cp:coreProperties>
</file>